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88D83" w14:textId="0FD4ED00" w:rsidR="00923695" w:rsidRDefault="00551CAD"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r w:rsidRPr="00F74FC5">
        <w:rPr>
          <w:rFonts w:ascii="Arial" w:hAnsi="Arial" w:cs="Arial"/>
          <w:b/>
          <w:sz w:val="24"/>
          <w:szCs w:val="24"/>
          <w:lang w:eastAsia="es-CL"/>
        </w:rPr>
        <w:t>Informe</w:t>
      </w:r>
      <w:r w:rsidR="00474C8C" w:rsidRPr="00F74FC5">
        <w:rPr>
          <w:rFonts w:ascii="Arial" w:hAnsi="Arial" w:cs="Arial"/>
          <w:b/>
          <w:sz w:val="24"/>
          <w:szCs w:val="24"/>
          <w:lang w:eastAsia="es-CL"/>
        </w:rPr>
        <w:t xml:space="preserve"> </w:t>
      </w:r>
      <w:r w:rsidR="00BF6FF5">
        <w:rPr>
          <w:rFonts w:ascii="Arial" w:hAnsi="Arial" w:cs="Arial"/>
          <w:b/>
          <w:sz w:val="24"/>
          <w:szCs w:val="24"/>
          <w:lang w:eastAsia="es-CL"/>
        </w:rPr>
        <w:t>Tercer</w:t>
      </w:r>
      <w:r w:rsidR="00923695">
        <w:rPr>
          <w:rFonts w:ascii="Arial" w:hAnsi="Arial" w:cs="Arial"/>
          <w:b/>
          <w:sz w:val="24"/>
          <w:szCs w:val="24"/>
          <w:lang w:eastAsia="es-CL"/>
        </w:rPr>
        <w:t xml:space="preserve"> Trimestre </w:t>
      </w:r>
    </w:p>
    <w:p w14:paraId="6F9E9EA2" w14:textId="35C84053" w:rsidR="00204E46" w:rsidRPr="00F74FC5" w:rsidRDefault="00551CAD"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r w:rsidRPr="00F74FC5">
        <w:rPr>
          <w:rFonts w:ascii="Arial" w:hAnsi="Arial" w:cs="Arial"/>
          <w:b/>
          <w:sz w:val="24"/>
          <w:szCs w:val="24"/>
          <w:lang w:eastAsia="es-CL"/>
        </w:rPr>
        <w:t>“E</w:t>
      </w:r>
      <w:r w:rsidR="00204E46" w:rsidRPr="00F74FC5">
        <w:rPr>
          <w:rFonts w:ascii="Arial" w:hAnsi="Arial" w:cs="Arial"/>
          <w:b/>
          <w:sz w:val="24"/>
          <w:szCs w:val="24"/>
          <w:lang w:eastAsia="es-CL"/>
        </w:rPr>
        <w:t>stado de situación de las principales investigaciones de violencia institucional asociadas a la crisis social</w:t>
      </w:r>
      <w:r w:rsidRPr="00F74FC5">
        <w:rPr>
          <w:rFonts w:ascii="Arial" w:hAnsi="Arial" w:cs="Arial"/>
          <w:b/>
          <w:sz w:val="24"/>
          <w:szCs w:val="24"/>
          <w:lang w:eastAsia="es-CL"/>
        </w:rPr>
        <w:t>”</w:t>
      </w:r>
    </w:p>
    <w:p w14:paraId="1038C4AB" w14:textId="77777777" w:rsidR="00D04422" w:rsidRPr="00F74FC5" w:rsidRDefault="00D04422" w:rsidP="00636357">
      <w:pPr>
        <w:pStyle w:val="Prrafodelista"/>
        <w:autoSpaceDE w:val="0"/>
        <w:autoSpaceDN w:val="0"/>
        <w:adjustRightInd w:val="0"/>
        <w:spacing w:after="0" w:line="240" w:lineRule="auto"/>
        <w:ind w:left="360"/>
        <w:jc w:val="center"/>
        <w:rPr>
          <w:rFonts w:ascii="Arial" w:hAnsi="Arial" w:cs="Arial"/>
          <w:b/>
          <w:sz w:val="24"/>
          <w:szCs w:val="24"/>
          <w:lang w:eastAsia="es-CL"/>
        </w:rPr>
      </w:pPr>
    </w:p>
    <w:p w14:paraId="6B79470D" w14:textId="26A7AAF8" w:rsidR="00474C8C" w:rsidRPr="00F74FC5" w:rsidRDefault="00474C8C"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0956BFA4" w14:textId="2A97B957" w:rsidR="00474C8C" w:rsidRPr="00F74FC5" w:rsidRDefault="006507EB" w:rsidP="00474C8C">
      <w:pPr>
        <w:pStyle w:val="Prrafodelista"/>
        <w:autoSpaceDE w:val="0"/>
        <w:autoSpaceDN w:val="0"/>
        <w:adjustRightInd w:val="0"/>
        <w:spacing w:after="0" w:line="240" w:lineRule="auto"/>
        <w:ind w:left="360"/>
        <w:jc w:val="center"/>
        <w:rPr>
          <w:rFonts w:ascii="Arial" w:hAnsi="Arial" w:cs="Arial"/>
          <w:b/>
          <w:bCs/>
          <w:sz w:val="24"/>
          <w:szCs w:val="24"/>
          <w:lang w:eastAsia="es-CL"/>
        </w:rPr>
      </w:pPr>
      <w:r w:rsidRPr="00F74FC5">
        <w:rPr>
          <w:rFonts w:ascii="Arial" w:hAnsi="Arial" w:cs="Arial"/>
          <w:b/>
          <w:bCs/>
          <w:sz w:val="24"/>
          <w:szCs w:val="24"/>
          <w:lang w:eastAsia="es-CL"/>
        </w:rPr>
        <w:t>Resumen ejecutivo</w:t>
      </w:r>
    </w:p>
    <w:p w14:paraId="372886D3" w14:textId="28C91E5C" w:rsidR="00474C8C" w:rsidRPr="00F74FC5" w:rsidRDefault="00474C8C" w:rsidP="00204E46">
      <w:pPr>
        <w:pStyle w:val="Prrafodelista"/>
        <w:autoSpaceDE w:val="0"/>
        <w:autoSpaceDN w:val="0"/>
        <w:adjustRightInd w:val="0"/>
        <w:spacing w:after="0" w:line="240" w:lineRule="auto"/>
        <w:ind w:left="360"/>
        <w:jc w:val="both"/>
        <w:rPr>
          <w:rFonts w:ascii="Arial" w:hAnsi="Arial" w:cs="Arial"/>
          <w:bCs/>
          <w:sz w:val="24"/>
          <w:szCs w:val="24"/>
          <w:u w:val="single"/>
          <w:lang w:eastAsia="es-CL"/>
        </w:rPr>
      </w:pPr>
    </w:p>
    <w:p w14:paraId="67A9C2C4" w14:textId="464858CD" w:rsidR="006E33A1" w:rsidRPr="00F74FC5" w:rsidRDefault="00474C8C" w:rsidP="00E50B49">
      <w:pPr>
        <w:pStyle w:val="Prrafodelista"/>
        <w:autoSpaceDE w:val="0"/>
        <w:autoSpaceDN w:val="0"/>
        <w:adjustRightInd w:val="0"/>
        <w:spacing w:after="0"/>
        <w:ind w:left="0"/>
        <w:jc w:val="both"/>
        <w:rPr>
          <w:rFonts w:ascii="Arial" w:hAnsi="Arial" w:cs="Arial"/>
          <w:bCs/>
          <w:sz w:val="24"/>
          <w:szCs w:val="24"/>
          <w:lang w:eastAsia="es-CL"/>
        </w:rPr>
      </w:pPr>
      <w:r w:rsidRPr="00F74FC5">
        <w:rPr>
          <w:rFonts w:ascii="Arial" w:hAnsi="Arial" w:cs="Arial"/>
          <w:bCs/>
          <w:sz w:val="24"/>
          <w:szCs w:val="24"/>
          <w:lang w:eastAsia="es-CL"/>
        </w:rPr>
        <w:t xml:space="preserve">El presente documento detalla la situación </w:t>
      </w:r>
      <w:r w:rsidR="009270D4" w:rsidRPr="00F74FC5">
        <w:rPr>
          <w:rFonts w:ascii="Arial" w:hAnsi="Arial" w:cs="Arial"/>
          <w:bCs/>
          <w:sz w:val="24"/>
          <w:szCs w:val="24"/>
          <w:lang w:eastAsia="es-CL"/>
        </w:rPr>
        <w:t xml:space="preserve">general </w:t>
      </w:r>
      <w:r w:rsidRPr="00F74FC5">
        <w:rPr>
          <w:rFonts w:ascii="Arial" w:hAnsi="Arial" w:cs="Arial"/>
          <w:bCs/>
          <w:sz w:val="24"/>
          <w:szCs w:val="24"/>
          <w:lang w:eastAsia="es-CL"/>
        </w:rPr>
        <w:t xml:space="preserve">en que se encuentran las causas </w:t>
      </w:r>
      <w:r w:rsidR="009270D4" w:rsidRPr="00F74FC5">
        <w:rPr>
          <w:rFonts w:ascii="Arial" w:hAnsi="Arial" w:cs="Arial"/>
          <w:bCs/>
          <w:sz w:val="24"/>
          <w:szCs w:val="24"/>
          <w:lang w:eastAsia="es-CL"/>
        </w:rPr>
        <w:t xml:space="preserve">seguidas </w:t>
      </w:r>
      <w:r w:rsidRPr="00F74FC5">
        <w:rPr>
          <w:rFonts w:ascii="Arial" w:hAnsi="Arial" w:cs="Arial"/>
          <w:bCs/>
          <w:sz w:val="24"/>
          <w:szCs w:val="24"/>
          <w:lang w:eastAsia="es-CL"/>
        </w:rPr>
        <w:t>por delitos de violencia institucional, cuyos hechos correspond</w:t>
      </w:r>
      <w:r w:rsidR="009B497E" w:rsidRPr="00F74FC5">
        <w:rPr>
          <w:rFonts w:ascii="Arial" w:hAnsi="Arial" w:cs="Arial"/>
          <w:bCs/>
          <w:sz w:val="24"/>
          <w:szCs w:val="24"/>
          <w:lang w:eastAsia="es-CL"/>
        </w:rPr>
        <w:t>e</w:t>
      </w:r>
      <w:r w:rsidRPr="00F74FC5">
        <w:rPr>
          <w:rFonts w:ascii="Arial" w:hAnsi="Arial" w:cs="Arial"/>
          <w:bCs/>
          <w:sz w:val="24"/>
          <w:szCs w:val="24"/>
          <w:lang w:eastAsia="es-CL"/>
        </w:rPr>
        <w:t>n al periodo comprendido entre</w:t>
      </w:r>
      <w:r w:rsidR="00FC4F4B" w:rsidRPr="00F74FC5">
        <w:rPr>
          <w:rFonts w:ascii="Arial" w:hAnsi="Arial" w:cs="Arial"/>
          <w:bCs/>
          <w:sz w:val="24"/>
          <w:szCs w:val="24"/>
          <w:lang w:eastAsia="es-CL"/>
        </w:rPr>
        <w:t xml:space="preserve"> el 18 de</w:t>
      </w:r>
      <w:r w:rsidRPr="00F74FC5">
        <w:rPr>
          <w:rFonts w:ascii="Arial" w:hAnsi="Arial" w:cs="Arial"/>
          <w:bCs/>
          <w:sz w:val="24"/>
          <w:szCs w:val="24"/>
          <w:lang w:eastAsia="es-CL"/>
        </w:rPr>
        <w:t xml:space="preserve"> octubre 2019 a</w:t>
      </w:r>
      <w:r w:rsidR="00FC4F4B" w:rsidRPr="00F74FC5">
        <w:rPr>
          <w:rFonts w:ascii="Arial" w:hAnsi="Arial" w:cs="Arial"/>
          <w:bCs/>
          <w:sz w:val="24"/>
          <w:szCs w:val="24"/>
          <w:lang w:eastAsia="es-CL"/>
        </w:rPr>
        <w:t>l 31 de</w:t>
      </w:r>
      <w:r w:rsidRPr="00F74FC5">
        <w:rPr>
          <w:rFonts w:ascii="Arial" w:hAnsi="Arial" w:cs="Arial"/>
          <w:bCs/>
          <w:sz w:val="24"/>
          <w:szCs w:val="24"/>
          <w:lang w:eastAsia="es-CL"/>
        </w:rPr>
        <w:t xml:space="preserve"> marzo 2020. </w:t>
      </w:r>
    </w:p>
    <w:p w14:paraId="3E629E12" w14:textId="77777777" w:rsidR="00636357" w:rsidRPr="00F74FC5" w:rsidRDefault="00636357" w:rsidP="00E50B49">
      <w:pPr>
        <w:pStyle w:val="Prrafodelista"/>
        <w:autoSpaceDE w:val="0"/>
        <w:autoSpaceDN w:val="0"/>
        <w:adjustRightInd w:val="0"/>
        <w:spacing w:after="0"/>
        <w:ind w:left="0"/>
        <w:jc w:val="both"/>
        <w:rPr>
          <w:rFonts w:ascii="Arial" w:hAnsi="Arial" w:cs="Arial"/>
          <w:bCs/>
          <w:sz w:val="24"/>
          <w:szCs w:val="24"/>
          <w:lang w:eastAsia="es-CL"/>
        </w:rPr>
      </w:pPr>
    </w:p>
    <w:p w14:paraId="7DC7123E" w14:textId="1A3DD159" w:rsidR="006E33A1" w:rsidRPr="00F74FC5" w:rsidRDefault="00473AA5" w:rsidP="002E4154">
      <w:pPr>
        <w:pStyle w:val="Prrafodelista"/>
        <w:autoSpaceDE w:val="0"/>
        <w:autoSpaceDN w:val="0"/>
        <w:adjustRightInd w:val="0"/>
        <w:spacing w:after="0"/>
        <w:ind w:left="0"/>
        <w:jc w:val="both"/>
        <w:rPr>
          <w:rFonts w:ascii="Arial" w:hAnsi="Arial" w:cs="Arial"/>
          <w:bCs/>
          <w:sz w:val="24"/>
          <w:szCs w:val="24"/>
          <w:lang w:eastAsia="es-CL"/>
        </w:rPr>
      </w:pPr>
      <w:r>
        <w:rPr>
          <w:rFonts w:ascii="Arial" w:hAnsi="Arial" w:cs="Arial"/>
          <w:bCs/>
          <w:sz w:val="24"/>
          <w:szCs w:val="24"/>
          <w:lang w:eastAsia="es-CL"/>
        </w:rPr>
        <w:t xml:space="preserve">La información a presentar está subdividida </w:t>
      </w:r>
      <w:r w:rsidR="00474C8C" w:rsidRPr="00F74FC5">
        <w:rPr>
          <w:rFonts w:ascii="Arial" w:hAnsi="Arial" w:cs="Arial"/>
          <w:bCs/>
          <w:sz w:val="24"/>
          <w:szCs w:val="24"/>
          <w:lang w:eastAsia="es-CL"/>
        </w:rPr>
        <w:t xml:space="preserve">en </w:t>
      </w:r>
      <w:r w:rsidR="002E4154">
        <w:rPr>
          <w:rFonts w:ascii="Arial" w:hAnsi="Arial" w:cs="Arial"/>
          <w:bCs/>
          <w:sz w:val="24"/>
          <w:szCs w:val="24"/>
          <w:lang w:eastAsia="es-CL"/>
        </w:rPr>
        <w:t>dos</w:t>
      </w:r>
      <w:r w:rsidR="00474C8C" w:rsidRPr="00F74FC5">
        <w:rPr>
          <w:rFonts w:ascii="Arial" w:hAnsi="Arial" w:cs="Arial"/>
          <w:bCs/>
          <w:sz w:val="24"/>
          <w:szCs w:val="24"/>
          <w:lang w:eastAsia="es-CL"/>
        </w:rPr>
        <w:t xml:space="preserve"> grandes categorías</w:t>
      </w:r>
      <w:r w:rsidR="006E33A1" w:rsidRPr="00F74FC5">
        <w:rPr>
          <w:rFonts w:ascii="Arial" w:hAnsi="Arial" w:cs="Arial"/>
          <w:bCs/>
          <w:sz w:val="24"/>
          <w:szCs w:val="24"/>
          <w:lang w:eastAsia="es-CL"/>
        </w:rPr>
        <w:t>.</w:t>
      </w:r>
      <w:r w:rsidR="00474C8C" w:rsidRPr="00F74FC5">
        <w:rPr>
          <w:rFonts w:ascii="Arial" w:hAnsi="Arial" w:cs="Arial"/>
          <w:bCs/>
          <w:sz w:val="24"/>
          <w:szCs w:val="24"/>
          <w:lang w:eastAsia="es-CL"/>
        </w:rPr>
        <w:t xml:space="preserve"> </w:t>
      </w:r>
      <w:r w:rsidR="00BE1FE9" w:rsidRPr="00F74FC5">
        <w:rPr>
          <w:rFonts w:ascii="Arial" w:hAnsi="Arial" w:cs="Arial"/>
          <w:bCs/>
          <w:sz w:val="24"/>
          <w:szCs w:val="24"/>
          <w:lang w:eastAsia="es-CL"/>
        </w:rPr>
        <w:t xml:space="preserve">La </w:t>
      </w:r>
      <w:r w:rsidR="00474C8C" w:rsidRPr="00F74FC5">
        <w:rPr>
          <w:rFonts w:ascii="Arial" w:hAnsi="Arial" w:cs="Arial"/>
          <w:bCs/>
          <w:sz w:val="24"/>
          <w:szCs w:val="24"/>
          <w:lang w:eastAsia="es-CL"/>
        </w:rPr>
        <w:t xml:space="preserve">primera </w:t>
      </w:r>
      <w:r w:rsidR="00E82247">
        <w:rPr>
          <w:rFonts w:ascii="Arial" w:hAnsi="Arial" w:cs="Arial"/>
          <w:bCs/>
          <w:sz w:val="24"/>
          <w:szCs w:val="24"/>
          <w:lang w:eastAsia="es-CL"/>
        </w:rPr>
        <w:t xml:space="preserve">refiere al </w:t>
      </w:r>
      <w:r w:rsidR="00474C8C" w:rsidRPr="00F74FC5">
        <w:rPr>
          <w:rFonts w:ascii="Arial" w:hAnsi="Arial" w:cs="Arial"/>
          <w:bCs/>
          <w:sz w:val="24"/>
          <w:szCs w:val="24"/>
          <w:lang w:eastAsia="es-CL"/>
        </w:rPr>
        <w:t>“</w:t>
      </w:r>
      <w:r w:rsidR="00474C8C" w:rsidRPr="003E07C9">
        <w:rPr>
          <w:rFonts w:ascii="Arial" w:hAnsi="Arial" w:cs="Arial"/>
          <w:bCs/>
          <w:sz w:val="24"/>
          <w:szCs w:val="24"/>
          <w:u w:val="single"/>
          <w:lang w:eastAsia="es-CL"/>
        </w:rPr>
        <w:t>Estado general de las causas por delitos de violencia institucional cometidos entre el 18-10-2019 al 31-03-2020</w:t>
      </w:r>
      <w:r w:rsidR="00474C8C" w:rsidRPr="00F74FC5">
        <w:rPr>
          <w:rFonts w:ascii="Arial" w:hAnsi="Arial" w:cs="Arial"/>
          <w:bCs/>
          <w:sz w:val="24"/>
          <w:szCs w:val="24"/>
          <w:lang w:eastAsia="es-CL"/>
        </w:rPr>
        <w:t>”, elaborad</w:t>
      </w:r>
      <w:r w:rsidR="006E33A1" w:rsidRPr="00F74FC5">
        <w:rPr>
          <w:rFonts w:ascii="Arial" w:hAnsi="Arial" w:cs="Arial"/>
          <w:bCs/>
          <w:sz w:val="24"/>
          <w:szCs w:val="24"/>
          <w:lang w:eastAsia="es-CL"/>
        </w:rPr>
        <w:t>a</w:t>
      </w:r>
      <w:r w:rsidR="00474C8C" w:rsidRPr="00F74FC5">
        <w:rPr>
          <w:rFonts w:ascii="Arial" w:hAnsi="Arial" w:cs="Arial"/>
          <w:bCs/>
          <w:sz w:val="24"/>
          <w:szCs w:val="24"/>
          <w:lang w:eastAsia="es-CL"/>
        </w:rPr>
        <w:t xml:space="preserve"> con información extraída desde SAF con fe</w:t>
      </w:r>
      <w:r w:rsidR="004C386A" w:rsidRPr="00F74FC5">
        <w:rPr>
          <w:rFonts w:ascii="Arial" w:hAnsi="Arial" w:cs="Arial"/>
          <w:bCs/>
          <w:sz w:val="24"/>
          <w:szCs w:val="24"/>
          <w:lang w:eastAsia="es-CL"/>
        </w:rPr>
        <w:t xml:space="preserve">cha </w:t>
      </w:r>
      <w:r w:rsidR="00BF6FF5">
        <w:rPr>
          <w:rFonts w:ascii="Arial" w:hAnsi="Arial" w:cs="Arial"/>
          <w:bCs/>
          <w:sz w:val="24"/>
          <w:szCs w:val="24"/>
          <w:lang w:eastAsia="es-CL"/>
        </w:rPr>
        <w:t>11</w:t>
      </w:r>
      <w:r w:rsidR="00FC4F4B" w:rsidRPr="00E803CD">
        <w:rPr>
          <w:rFonts w:ascii="Arial" w:hAnsi="Arial" w:cs="Arial"/>
          <w:bCs/>
          <w:sz w:val="24"/>
          <w:szCs w:val="24"/>
          <w:lang w:eastAsia="es-CL"/>
        </w:rPr>
        <w:t>-</w:t>
      </w:r>
      <w:r w:rsidR="00BF6FF5">
        <w:rPr>
          <w:rFonts w:ascii="Arial" w:hAnsi="Arial" w:cs="Arial"/>
          <w:bCs/>
          <w:sz w:val="24"/>
          <w:szCs w:val="24"/>
          <w:lang w:eastAsia="es-CL"/>
        </w:rPr>
        <w:t>10</w:t>
      </w:r>
      <w:r w:rsidR="009B497E" w:rsidRPr="00E803CD">
        <w:rPr>
          <w:rFonts w:ascii="Arial" w:hAnsi="Arial" w:cs="Arial"/>
          <w:bCs/>
          <w:sz w:val="24"/>
          <w:szCs w:val="24"/>
          <w:lang w:eastAsia="es-CL"/>
        </w:rPr>
        <w:t>-202</w:t>
      </w:r>
      <w:r w:rsidR="00D42CBA" w:rsidRPr="00E803CD">
        <w:rPr>
          <w:rFonts w:ascii="Arial" w:hAnsi="Arial" w:cs="Arial"/>
          <w:bCs/>
          <w:sz w:val="24"/>
          <w:szCs w:val="24"/>
          <w:lang w:eastAsia="es-CL"/>
        </w:rPr>
        <w:t>4</w:t>
      </w:r>
      <w:r w:rsidR="00D43F8A" w:rsidRPr="00E803CD">
        <w:rPr>
          <w:rFonts w:ascii="Arial" w:hAnsi="Arial" w:cs="Arial"/>
          <w:bCs/>
          <w:sz w:val="24"/>
          <w:szCs w:val="24"/>
          <w:lang w:eastAsia="es-CL"/>
        </w:rPr>
        <w:t>.</w:t>
      </w:r>
      <w:r w:rsidR="002E4154" w:rsidRPr="002E4154">
        <w:rPr>
          <w:rFonts w:ascii="Arial" w:hAnsi="Arial" w:cs="Arial"/>
          <w:bCs/>
          <w:sz w:val="24"/>
          <w:szCs w:val="24"/>
          <w:lang w:eastAsia="es-CL"/>
        </w:rPr>
        <w:t xml:space="preserve"> </w:t>
      </w:r>
      <w:r w:rsidR="002E4154" w:rsidRPr="00B53CD0">
        <w:rPr>
          <w:rFonts w:ascii="Arial" w:hAnsi="Arial" w:cs="Arial"/>
          <w:bCs/>
          <w:sz w:val="24"/>
          <w:szCs w:val="24"/>
          <w:lang w:eastAsia="es-CL"/>
        </w:rPr>
        <w:t>Adicionalmente se presenta información referida al estado de judicialización de la totalidad de las causas</w:t>
      </w:r>
      <w:r w:rsidR="003E07C9">
        <w:rPr>
          <w:rFonts w:ascii="Arial" w:hAnsi="Arial" w:cs="Arial"/>
          <w:bCs/>
          <w:sz w:val="24"/>
          <w:szCs w:val="24"/>
          <w:lang w:eastAsia="es-CL"/>
        </w:rPr>
        <w:t>.</w:t>
      </w:r>
    </w:p>
    <w:p w14:paraId="0D5AECE9" w14:textId="77777777" w:rsidR="00636357" w:rsidRPr="00F74FC5" w:rsidRDefault="00636357" w:rsidP="00E50B49">
      <w:pPr>
        <w:pStyle w:val="Prrafodelista"/>
        <w:autoSpaceDE w:val="0"/>
        <w:autoSpaceDN w:val="0"/>
        <w:adjustRightInd w:val="0"/>
        <w:spacing w:after="0"/>
        <w:ind w:left="0"/>
        <w:jc w:val="both"/>
        <w:rPr>
          <w:rFonts w:ascii="Arial" w:hAnsi="Arial" w:cs="Arial"/>
          <w:bCs/>
          <w:sz w:val="24"/>
          <w:szCs w:val="24"/>
          <w:lang w:eastAsia="es-CL"/>
        </w:rPr>
      </w:pPr>
    </w:p>
    <w:p w14:paraId="5CCBD52A" w14:textId="67EC4DBF" w:rsidR="00636357" w:rsidRPr="00F74FC5" w:rsidRDefault="00E82247" w:rsidP="00A75E62">
      <w:pPr>
        <w:pStyle w:val="Prrafodelista"/>
        <w:shd w:val="clear" w:color="auto" w:fill="FFFFFF" w:themeFill="background1"/>
        <w:autoSpaceDE w:val="0"/>
        <w:autoSpaceDN w:val="0"/>
        <w:adjustRightInd w:val="0"/>
        <w:spacing w:after="0"/>
        <w:ind w:left="0"/>
        <w:jc w:val="both"/>
        <w:rPr>
          <w:rFonts w:ascii="Arial" w:hAnsi="Arial" w:cs="Arial"/>
          <w:bCs/>
          <w:sz w:val="24"/>
          <w:szCs w:val="24"/>
          <w:lang w:eastAsia="es-CL"/>
        </w:rPr>
      </w:pPr>
      <w:r>
        <w:rPr>
          <w:rFonts w:ascii="Arial" w:hAnsi="Arial" w:cs="Arial"/>
          <w:bCs/>
          <w:sz w:val="24"/>
          <w:szCs w:val="24"/>
          <w:lang w:eastAsia="es-CL"/>
        </w:rPr>
        <w:t xml:space="preserve">En una segunda parte </w:t>
      </w:r>
      <w:r w:rsidR="00474C8C" w:rsidRPr="00F74FC5">
        <w:rPr>
          <w:rFonts w:ascii="Arial" w:hAnsi="Arial" w:cs="Arial"/>
          <w:bCs/>
          <w:sz w:val="24"/>
          <w:szCs w:val="24"/>
          <w:lang w:eastAsia="es-CL"/>
        </w:rPr>
        <w:t>se encuentra la categoría “</w:t>
      </w:r>
      <w:r w:rsidR="00474C8C" w:rsidRPr="003E07C9">
        <w:rPr>
          <w:rFonts w:ascii="Arial" w:hAnsi="Arial" w:cs="Arial"/>
          <w:bCs/>
          <w:sz w:val="24"/>
          <w:szCs w:val="24"/>
          <w:u w:val="single"/>
          <w:lang w:eastAsia="es-CL"/>
        </w:rPr>
        <w:t>Causas por delitos de violencia institucional en que INDH es interviniente</w:t>
      </w:r>
      <w:r w:rsidR="00474C8C" w:rsidRPr="00F74FC5">
        <w:rPr>
          <w:rFonts w:ascii="Arial" w:hAnsi="Arial" w:cs="Arial"/>
          <w:bCs/>
          <w:sz w:val="24"/>
          <w:szCs w:val="24"/>
          <w:lang w:eastAsia="es-CL"/>
        </w:rPr>
        <w:t xml:space="preserve">”, cuya elaboración emplea información remitida desde el </w:t>
      </w:r>
      <w:r w:rsidR="009B497E" w:rsidRPr="00F74FC5">
        <w:rPr>
          <w:rFonts w:ascii="Arial" w:hAnsi="Arial" w:cs="Arial"/>
          <w:bCs/>
          <w:sz w:val="24"/>
          <w:szCs w:val="24"/>
          <w:lang w:eastAsia="es-CL"/>
        </w:rPr>
        <w:t>Instituto Nacional de Derechos Humanos</w:t>
      </w:r>
      <w:r w:rsidR="00474C8C" w:rsidRPr="00F74FC5">
        <w:rPr>
          <w:rFonts w:ascii="Arial" w:hAnsi="Arial" w:cs="Arial"/>
          <w:bCs/>
          <w:sz w:val="24"/>
          <w:szCs w:val="24"/>
          <w:lang w:eastAsia="es-CL"/>
        </w:rPr>
        <w:t xml:space="preserve"> a la Unidad Especializada en </w:t>
      </w:r>
      <w:r w:rsidR="006E33A1" w:rsidRPr="00F74FC5">
        <w:rPr>
          <w:rFonts w:ascii="Arial" w:hAnsi="Arial" w:cs="Arial"/>
          <w:bCs/>
          <w:sz w:val="24"/>
          <w:szCs w:val="24"/>
          <w:lang w:eastAsia="es-CL"/>
        </w:rPr>
        <w:t>DD. HH</w:t>
      </w:r>
      <w:r w:rsidR="00B53CD0">
        <w:rPr>
          <w:rFonts w:ascii="Arial" w:hAnsi="Arial" w:cs="Arial"/>
          <w:bCs/>
          <w:sz w:val="24"/>
          <w:szCs w:val="24"/>
          <w:lang w:eastAsia="es-CL"/>
        </w:rPr>
        <w:t>.</w:t>
      </w:r>
      <w:r w:rsidR="00474C8C" w:rsidRPr="00F74FC5">
        <w:rPr>
          <w:rFonts w:ascii="Arial" w:hAnsi="Arial" w:cs="Arial"/>
          <w:bCs/>
          <w:sz w:val="24"/>
          <w:szCs w:val="24"/>
          <w:lang w:eastAsia="es-CL"/>
        </w:rPr>
        <w:t>, Violencia de género y Delitos Sexuales de la Fiscalía Nacional,</w:t>
      </w:r>
      <w:r w:rsidR="00376BCE">
        <w:rPr>
          <w:rFonts w:ascii="Arial" w:hAnsi="Arial" w:cs="Arial"/>
          <w:bCs/>
          <w:sz w:val="24"/>
          <w:szCs w:val="24"/>
          <w:lang w:eastAsia="es-CL"/>
        </w:rPr>
        <w:t xml:space="preserve"> en enero de 2021, </w:t>
      </w:r>
      <w:r w:rsidR="006E33A1" w:rsidRPr="00F74FC5">
        <w:rPr>
          <w:rFonts w:ascii="Arial" w:hAnsi="Arial" w:cs="Arial"/>
          <w:bCs/>
          <w:sz w:val="24"/>
          <w:szCs w:val="24"/>
          <w:lang w:eastAsia="es-CL"/>
        </w:rPr>
        <w:t>relativ</w:t>
      </w:r>
      <w:r w:rsidR="00376BCE">
        <w:rPr>
          <w:rFonts w:ascii="Arial" w:hAnsi="Arial" w:cs="Arial"/>
          <w:bCs/>
          <w:sz w:val="24"/>
          <w:szCs w:val="24"/>
          <w:lang w:eastAsia="es-CL"/>
        </w:rPr>
        <w:t>a</w:t>
      </w:r>
      <w:r w:rsidR="006E33A1" w:rsidRPr="00F74FC5">
        <w:rPr>
          <w:rFonts w:ascii="Arial" w:hAnsi="Arial" w:cs="Arial"/>
          <w:bCs/>
          <w:sz w:val="24"/>
          <w:szCs w:val="24"/>
          <w:lang w:eastAsia="es-CL"/>
        </w:rPr>
        <w:t xml:space="preserve"> a la individualización de las querellas deducidas por dicha entidad. </w:t>
      </w:r>
      <w:r w:rsidR="00C765D6" w:rsidRPr="00F74FC5">
        <w:rPr>
          <w:rFonts w:ascii="Arial" w:hAnsi="Arial" w:cs="Arial"/>
          <w:bCs/>
          <w:sz w:val="24"/>
          <w:szCs w:val="24"/>
          <w:lang w:eastAsia="es-CL"/>
        </w:rPr>
        <w:t>A partir de dich</w:t>
      </w:r>
      <w:r w:rsidR="00376BCE">
        <w:rPr>
          <w:rFonts w:ascii="Arial" w:hAnsi="Arial" w:cs="Arial"/>
          <w:bCs/>
          <w:sz w:val="24"/>
          <w:szCs w:val="24"/>
          <w:lang w:eastAsia="es-CL"/>
        </w:rPr>
        <w:t>a información</w:t>
      </w:r>
      <w:r w:rsidR="00C765D6" w:rsidRPr="00F74FC5">
        <w:rPr>
          <w:rFonts w:ascii="Arial" w:hAnsi="Arial" w:cs="Arial"/>
          <w:bCs/>
          <w:sz w:val="24"/>
          <w:szCs w:val="24"/>
          <w:lang w:eastAsia="es-CL"/>
        </w:rPr>
        <w:t xml:space="preserve">, se extraen los datos pertinentes desde SAF con fecha </w:t>
      </w:r>
      <w:r w:rsidR="005820DD">
        <w:rPr>
          <w:rFonts w:ascii="Arial" w:hAnsi="Arial" w:cs="Arial"/>
          <w:bCs/>
          <w:sz w:val="24"/>
          <w:szCs w:val="24"/>
          <w:lang w:eastAsia="es-CL"/>
        </w:rPr>
        <w:t>01-10</w:t>
      </w:r>
      <w:r w:rsidR="00057DCF" w:rsidRPr="00E803CD">
        <w:rPr>
          <w:rFonts w:ascii="Arial" w:hAnsi="Arial" w:cs="Arial"/>
          <w:bCs/>
          <w:sz w:val="24"/>
          <w:szCs w:val="24"/>
          <w:lang w:eastAsia="es-CL"/>
        </w:rPr>
        <w:t>-202</w:t>
      </w:r>
      <w:r w:rsidR="00057DCF">
        <w:rPr>
          <w:rFonts w:ascii="Arial" w:hAnsi="Arial" w:cs="Arial"/>
          <w:bCs/>
          <w:sz w:val="24"/>
          <w:szCs w:val="24"/>
          <w:lang w:eastAsia="es-CL"/>
        </w:rPr>
        <w:t>4.</w:t>
      </w:r>
    </w:p>
    <w:p w14:paraId="3C645B37" w14:textId="77777777" w:rsidR="00C765D6" w:rsidRPr="00F74FC5" w:rsidRDefault="00C765D6" w:rsidP="00E50B49">
      <w:pPr>
        <w:pStyle w:val="Prrafodelista"/>
        <w:autoSpaceDE w:val="0"/>
        <w:autoSpaceDN w:val="0"/>
        <w:adjustRightInd w:val="0"/>
        <w:spacing w:after="0"/>
        <w:ind w:left="0"/>
        <w:jc w:val="both"/>
        <w:rPr>
          <w:rFonts w:ascii="Arial" w:hAnsi="Arial" w:cs="Arial"/>
          <w:bCs/>
          <w:sz w:val="24"/>
          <w:szCs w:val="24"/>
          <w:lang w:eastAsia="es-CL"/>
        </w:rPr>
      </w:pPr>
    </w:p>
    <w:p w14:paraId="61A5AA52" w14:textId="0AE8172F" w:rsidR="009B497E" w:rsidRPr="00F74FC5" w:rsidRDefault="009B497E" w:rsidP="0046277B">
      <w:pPr>
        <w:autoSpaceDE w:val="0"/>
        <w:autoSpaceDN w:val="0"/>
        <w:adjustRightInd w:val="0"/>
        <w:spacing w:after="0"/>
        <w:jc w:val="both"/>
        <w:rPr>
          <w:rFonts w:ascii="Arial" w:hAnsi="Arial" w:cs="Arial"/>
          <w:bCs/>
          <w:sz w:val="24"/>
          <w:szCs w:val="24"/>
          <w:lang w:eastAsia="es-CL"/>
        </w:rPr>
      </w:pPr>
    </w:p>
    <w:p w14:paraId="68883779" w14:textId="77777777" w:rsidR="000F1B05" w:rsidRPr="00F74FC5" w:rsidRDefault="000F1B05" w:rsidP="000F1B05">
      <w:pPr>
        <w:jc w:val="center"/>
        <w:rPr>
          <w:rFonts w:ascii="Arial" w:hAnsi="Arial" w:cs="Arial"/>
          <w:b/>
          <w:sz w:val="24"/>
          <w:szCs w:val="24"/>
        </w:rPr>
      </w:pPr>
      <w:r w:rsidRPr="00F74FC5">
        <w:rPr>
          <w:rFonts w:ascii="Arial" w:hAnsi="Arial" w:cs="Arial"/>
          <w:b/>
          <w:sz w:val="24"/>
          <w:szCs w:val="24"/>
        </w:rPr>
        <w:t>Consideraciones generales</w:t>
      </w:r>
    </w:p>
    <w:p w14:paraId="6418A682" w14:textId="77777777" w:rsidR="00E82247" w:rsidRDefault="000F1B05" w:rsidP="000F1B05">
      <w:pPr>
        <w:jc w:val="both"/>
        <w:rPr>
          <w:rFonts w:ascii="Arial" w:hAnsi="Arial" w:cs="Arial"/>
          <w:sz w:val="24"/>
          <w:szCs w:val="24"/>
        </w:rPr>
      </w:pPr>
      <w:r w:rsidRPr="00F74FC5">
        <w:rPr>
          <w:rFonts w:ascii="Arial" w:hAnsi="Arial" w:cs="Arial"/>
          <w:sz w:val="24"/>
          <w:szCs w:val="24"/>
        </w:rPr>
        <w:t xml:space="preserve">Para efectos de una correcta interpretación de la información suministrada en el presente informe del estado general de las investigaciones, es preciso señalar que las herramientas disponibles en el Ministerio Publico para el tratamiento de datos son variadas, siendo principal el rol que cumple el Sistema de Apoyo a Fiscales (SAF) en la gestión de las causas. </w:t>
      </w:r>
    </w:p>
    <w:p w14:paraId="4CC51EA8" w14:textId="06ED9924"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Dicha plataforma, en lo que respecta a la extracción de información masiva, cumple con la función de proporcionar información estadística, siendo únicamente posible extraer información sobre categorías prestablecidas, por lo que toda aquella categoría de información que no haya sido consignada en el SAF como parte de un criterio de clasificación y sus respectivas sub-variantes, no podrá ser reflejada estadísticamente. </w:t>
      </w:r>
    </w:p>
    <w:p w14:paraId="4135FCFB" w14:textId="77777777" w:rsidR="000F1B05" w:rsidRPr="00F74FC5" w:rsidRDefault="000F1B05" w:rsidP="000F1B05">
      <w:pPr>
        <w:jc w:val="both"/>
        <w:rPr>
          <w:rFonts w:ascii="Arial" w:hAnsi="Arial" w:cs="Arial"/>
          <w:sz w:val="24"/>
          <w:szCs w:val="24"/>
        </w:rPr>
      </w:pPr>
      <w:r w:rsidRPr="00F74FC5">
        <w:rPr>
          <w:rFonts w:ascii="Arial" w:hAnsi="Arial" w:cs="Arial"/>
          <w:sz w:val="24"/>
          <w:szCs w:val="24"/>
        </w:rPr>
        <w:lastRenderedPageBreak/>
        <w:t>Los ámbitos de medición contemplados por el SAF son: casos, delitos, sujetos, relaciones y actividades; los que generan a su vez, un conjunto de variables o parámetros susceptibles de ser medidos estadísticamente.</w:t>
      </w:r>
    </w:p>
    <w:p w14:paraId="4F36FCE1" w14:textId="3F2269B7" w:rsidR="000F1B05" w:rsidRPr="00F74FC5" w:rsidRDefault="00E82247" w:rsidP="000F1B05">
      <w:pPr>
        <w:jc w:val="both"/>
        <w:rPr>
          <w:rFonts w:ascii="Arial" w:hAnsi="Arial" w:cs="Arial"/>
          <w:sz w:val="24"/>
          <w:szCs w:val="24"/>
        </w:rPr>
      </w:pPr>
      <w:r>
        <w:rPr>
          <w:rFonts w:ascii="Arial" w:hAnsi="Arial" w:cs="Arial"/>
          <w:sz w:val="24"/>
          <w:szCs w:val="24"/>
        </w:rPr>
        <w:t xml:space="preserve">La categoría </w:t>
      </w:r>
      <w:r w:rsidR="000F1B05" w:rsidRPr="00F74FC5">
        <w:rPr>
          <w:rFonts w:ascii="Arial" w:hAnsi="Arial" w:cs="Arial"/>
          <w:sz w:val="24"/>
          <w:szCs w:val="24"/>
        </w:rPr>
        <w:t xml:space="preserve">macro que engloba los otros ámbitos es el </w:t>
      </w:r>
      <w:r>
        <w:rPr>
          <w:rFonts w:ascii="Arial" w:hAnsi="Arial" w:cs="Arial"/>
          <w:sz w:val="24"/>
          <w:szCs w:val="24"/>
        </w:rPr>
        <w:t>“</w:t>
      </w:r>
      <w:r w:rsidR="00791C20">
        <w:rPr>
          <w:rFonts w:ascii="Arial" w:hAnsi="Arial" w:cs="Arial"/>
          <w:sz w:val="24"/>
          <w:szCs w:val="24"/>
        </w:rPr>
        <w:t>c</w:t>
      </w:r>
      <w:r w:rsidR="000F1B05" w:rsidRPr="00F74FC5">
        <w:rPr>
          <w:rFonts w:ascii="Arial" w:hAnsi="Arial" w:cs="Arial"/>
          <w:sz w:val="24"/>
          <w:szCs w:val="24"/>
        </w:rPr>
        <w:t>aso</w:t>
      </w:r>
      <w:r>
        <w:rPr>
          <w:rFonts w:ascii="Arial" w:hAnsi="Arial" w:cs="Arial"/>
          <w:sz w:val="24"/>
          <w:szCs w:val="24"/>
        </w:rPr>
        <w:t>”</w:t>
      </w:r>
      <w:r w:rsidR="000F1B05" w:rsidRPr="00F74FC5">
        <w:rPr>
          <w:rFonts w:ascii="Arial" w:hAnsi="Arial" w:cs="Arial"/>
          <w:sz w:val="24"/>
          <w:szCs w:val="24"/>
        </w:rPr>
        <w:t>, el cual representa una investigación criminal, en el que pueden existir uno o más delitos</w:t>
      </w:r>
      <w:r w:rsidR="00A975DA">
        <w:rPr>
          <w:rFonts w:ascii="Arial" w:hAnsi="Arial" w:cs="Arial"/>
          <w:sz w:val="24"/>
          <w:szCs w:val="24"/>
        </w:rPr>
        <w:t>, víctimas o imputados</w:t>
      </w:r>
      <w:r w:rsidR="000F1B05" w:rsidRPr="00F74FC5">
        <w:rPr>
          <w:rFonts w:ascii="Arial" w:hAnsi="Arial" w:cs="Arial"/>
          <w:sz w:val="24"/>
          <w:szCs w:val="24"/>
        </w:rPr>
        <w:t>. Como elemento base, no se puede dar origen a un caso si no se ha cometido un delito. En cada delito intervienen personas, catalogadas como sujetos según su rol de participación (víctima o imputado). Cada caso debe estar integrado por a lo menos una relación, y los elementos mínimos que deben integrar una relación son un delito y un imputado, por lo tanto, en cada caso al menos existirá un delito y un imputado, aun cuando este sea conocido o desconocido.</w:t>
      </w:r>
    </w:p>
    <w:p w14:paraId="0B901976" w14:textId="77777777"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En efecto, en un caso pueden existir una o más relaciones, esto depende tanto del número de intervinientes como de la cantidad de delitos tenga el caso. Los términos judiciales y no judiciales se aplican y cuentan por cada relación. </w:t>
      </w:r>
    </w:p>
    <w:p w14:paraId="322D6F8D" w14:textId="0E1A94A5" w:rsidR="000F1B05" w:rsidRPr="00F74FC5" w:rsidRDefault="000F1B05" w:rsidP="000F1B05">
      <w:pPr>
        <w:jc w:val="both"/>
        <w:rPr>
          <w:rFonts w:ascii="Arial" w:hAnsi="Arial" w:cs="Arial"/>
          <w:sz w:val="24"/>
          <w:szCs w:val="24"/>
        </w:rPr>
      </w:pPr>
      <w:r w:rsidRPr="00F74FC5">
        <w:rPr>
          <w:rFonts w:ascii="Arial" w:hAnsi="Arial" w:cs="Arial"/>
          <w:sz w:val="24"/>
          <w:szCs w:val="24"/>
        </w:rPr>
        <w:t xml:space="preserve">Finalmente, </w:t>
      </w:r>
      <w:r w:rsidR="00E82247">
        <w:rPr>
          <w:rFonts w:ascii="Arial" w:hAnsi="Arial" w:cs="Arial"/>
          <w:sz w:val="24"/>
          <w:szCs w:val="24"/>
        </w:rPr>
        <w:t xml:space="preserve">se debe </w:t>
      </w:r>
      <w:r w:rsidRPr="00F74FC5">
        <w:rPr>
          <w:rFonts w:ascii="Arial" w:hAnsi="Arial" w:cs="Arial"/>
          <w:sz w:val="24"/>
          <w:szCs w:val="24"/>
        </w:rPr>
        <w:t xml:space="preserve">considerar que la información que recopila el SAF es de naturaleza dinámica, toda vez que el universo de causas en base al cual se reporta se encuentra en constante evolución en atención a los hallazgos investigativos que se hicieren en las investigaciones, de esta forma, las relaciones mutarán su contenido constantemente en subordinación directa a los antecedentes investigativos que hubieren sido actualizados a la fecha de extracción de datos. </w:t>
      </w:r>
    </w:p>
    <w:p w14:paraId="378AEF70" w14:textId="77777777" w:rsidR="004C386A" w:rsidRPr="00F74FC5" w:rsidRDefault="004C386A" w:rsidP="0046277B">
      <w:pPr>
        <w:autoSpaceDE w:val="0"/>
        <w:autoSpaceDN w:val="0"/>
        <w:adjustRightInd w:val="0"/>
        <w:spacing w:after="0" w:line="240" w:lineRule="auto"/>
        <w:jc w:val="both"/>
        <w:rPr>
          <w:rFonts w:ascii="Arial" w:hAnsi="Arial" w:cs="Arial"/>
          <w:b/>
          <w:sz w:val="24"/>
          <w:szCs w:val="24"/>
          <w:lang w:eastAsia="es-CL"/>
        </w:rPr>
      </w:pPr>
    </w:p>
    <w:p w14:paraId="68105F58" w14:textId="77777777" w:rsidR="004C386A" w:rsidRPr="00F74FC5" w:rsidRDefault="004C386A"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2F6EED50"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4D92F479"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19B99AB4"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49C06B53" w14:textId="26A42041" w:rsidR="009B497E" w:rsidRPr="00057DCF" w:rsidRDefault="00A75E62" w:rsidP="00057DCF">
      <w:pPr>
        <w:rPr>
          <w:rFonts w:ascii="Arial" w:hAnsi="Arial" w:cs="Arial"/>
          <w:b/>
          <w:sz w:val="24"/>
          <w:szCs w:val="24"/>
          <w:lang w:eastAsia="es-CL"/>
        </w:rPr>
      </w:pPr>
      <w:r>
        <w:rPr>
          <w:rFonts w:ascii="Arial" w:hAnsi="Arial" w:cs="Arial"/>
          <w:b/>
          <w:sz w:val="24"/>
          <w:szCs w:val="24"/>
          <w:lang w:eastAsia="es-CL"/>
        </w:rPr>
        <w:br w:type="page"/>
      </w:r>
    </w:p>
    <w:p w14:paraId="7E0C7F7A" w14:textId="77777777" w:rsidR="009B497E" w:rsidRPr="00F74FC5" w:rsidRDefault="009B497E" w:rsidP="00204E46">
      <w:pPr>
        <w:pStyle w:val="Prrafodelista"/>
        <w:autoSpaceDE w:val="0"/>
        <w:autoSpaceDN w:val="0"/>
        <w:adjustRightInd w:val="0"/>
        <w:spacing w:after="0" w:line="240" w:lineRule="auto"/>
        <w:ind w:left="360"/>
        <w:jc w:val="both"/>
        <w:rPr>
          <w:rFonts w:ascii="Arial" w:hAnsi="Arial" w:cs="Arial"/>
          <w:b/>
          <w:sz w:val="24"/>
          <w:szCs w:val="24"/>
          <w:lang w:eastAsia="es-CL"/>
        </w:rPr>
      </w:pPr>
    </w:p>
    <w:p w14:paraId="7F066F44" w14:textId="7E1E4088" w:rsidR="009B497E" w:rsidRPr="00F74FC5" w:rsidRDefault="009B497E" w:rsidP="009B497E">
      <w:pPr>
        <w:autoSpaceDE w:val="0"/>
        <w:autoSpaceDN w:val="0"/>
        <w:adjustRightInd w:val="0"/>
        <w:spacing w:after="0" w:line="240" w:lineRule="auto"/>
        <w:jc w:val="both"/>
        <w:rPr>
          <w:rFonts w:ascii="Arial" w:hAnsi="Arial" w:cs="Arial"/>
          <w:b/>
          <w:sz w:val="24"/>
          <w:szCs w:val="24"/>
          <w:lang w:eastAsia="es-CL"/>
        </w:rPr>
      </w:pPr>
    </w:p>
    <w:p w14:paraId="5A8797B3" w14:textId="24CF4542" w:rsidR="00D93994" w:rsidRDefault="00BA04D1" w:rsidP="006507E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Glosa 09</w:t>
      </w:r>
      <w:r w:rsidR="00791C20">
        <w:rPr>
          <w:rFonts w:ascii="Arial" w:hAnsi="Arial" w:cs="Arial"/>
          <w:b/>
          <w:sz w:val="24"/>
          <w:szCs w:val="24"/>
          <w:lang w:eastAsia="es-CL"/>
        </w:rPr>
        <w:t xml:space="preserve"> </w:t>
      </w:r>
    </w:p>
    <w:p w14:paraId="79E98CDF" w14:textId="540FF3FE" w:rsidR="00916C75" w:rsidRDefault="00916C75" w:rsidP="006507EB">
      <w:pPr>
        <w:autoSpaceDE w:val="0"/>
        <w:autoSpaceDN w:val="0"/>
        <w:adjustRightInd w:val="0"/>
        <w:spacing w:after="0" w:line="240" w:lineRule="auto"/>
        <w:jc w:val="center"/>
        <w:rPr>
          <w:rFonts w:ascii="Arial" w:hAnsi="Arial" w:cs="Arial"/>
          <w:b/>
          <w:sz w:val="24"/>
          <w:szCs w:val="24"/>
          <w:lang w:eastAsia="es-CL"/>
        </w:rPr>
      </w:pPr>
    </w:p>
    <w:p w14:paraId="031041AD" w14:textId="46965EA4" w:rsidR="00916C75" w:rsidRPr="00F74FC5" w:rsidRDefault="00916C75" w:rsidP="006507EB">
      <w:pPr>
        <w:autoSpaceDE w:val="0"/>
        <w:autoSpaceDN w:val="0"/>
        <w:adjustRightInd w:val="0"/>
        <w:spacing w:after="0" w:line="240" w:lineRule="auto"/>
        <w:jc w:val="center"/>
        <w:rPr>
          <w:rFonts w:ascii="Arial" w:hAnsi="Arial" w:cs="Arial"/>
          <w:b/>
          <w:sz w:val="24"/>
          <w:szCs w:val="24"/>
          <w:lang w:eastAsia="es-CL"/>
        </w:rPr>
      </w:pPr>
      <w:r>
        <w:rPr>
          <w:rFonts w:ascii="Arial" w:hAnsi="Arial" w:cs="Arial"/>
          <w:b/>
          <w:sz w:val="24"/>
          <w:szCs w:val="24"/>
          <w:lang w:eastAsia="es-CL"/>
        </w:rPr>
        <w:t>Parte I</w:t>
      </w:r>
    </w:p>
    <w:p w14:paraId="63230306" w14:textId="77777777" w:rsidR="006507EB" w:rsidRPr="00F74FC5" w:rsidRDefault="00474C8C" w:rsidP="006507EB">
      <w:pPr>
        <w:autoSpaceDE w:val="0"/>
        <w:autoSpaceDN w:val="0"/>
        <w:adjustRightInd w:val="0"/>
        <w:spacing w:after="0" w:line="240" w:lineRule="auto"/>
        <w:jc w:val="center"/>
        <w:rPr>
          <w:rFonts w:ascii="Arial" w:hAnsi="Arial" w:cs="Arial"/>
          <w:b/>
          <w:sz w:val="24"/>
          <w:szCs w:val="24"/>
          <w:lang w:eastAsia="es-CL"/>
        </w:rPr>
      </w:pPr>
      <w:r w:rsidRPr="00F74FC5">
        <w:rPr>
          <w:rFonts w:ascii="Arial" w:hAnsi="Arial" w:cs="Arial"/>
          <w:b/>
          <w:sz w:val="24"/>
          <w:szCs w:val="24"/>
          <w:lang w:eastAsia="es-CL"/>
        </w:rPr>
        <w:t xml:space="preserve">Estado general de las causas por delitos de violencia institucional </w:t>
      </w:r>
    </w:p>
    <w:p w14:paraId="2AA8FEB3" w14:textId="19D8F972" w:rsidR="00537145" w:rsidRPr="00F74FC5" w:rsidRDefault="00474C8C" w:rsidP="00BA60BA">
      <w:pPr>
        <w:autoSpaceDE w:val="0"/>
        <w:autoSpaceDN w:val="0"/>
        <w:adjustRightInd w:val="0"/>
        <w:spacing w:after="0" w:line="240" w:lineRule="auto"/>
        <w:jc w:val="center"/>
        <w:rPr>
          <w:rFonts w:ascii="Arial" w:hAnsi="Arial" w:cs="Arial"/>
          <w:b/>
          <w:sz w:val="24"/>
          <w:szCs w:val="24"/>
          <w:lang w:eastAsia="es-CL"/>
        </w:rPr>
      </w:pPr>
      <w:r w:rsidRPr="00F74FC5">
        <w:rPr>
          <w:rFonts w:ascii="Arial" w:hAnsi="Arial" w:cs="Arial"/>
          <w:b/>
          <w:sz w:val="24"/>
          <w:szCs w:val="24"/>
          <w:lang w:eastAsia="es-CL"/>
        </w:rPr>
        <w:t>cometidos en</w:t>
      </w:r>
      <w:r w:rsidR="006507EB" w:rsidRPr="00F74FC5">
        <w:rPr>
          <w:rFonts w:ascii="Arial" w:hAnsi="Arial" w:cs="Arial"/>
          <w:b/>
          <w:sz w:val="24"/>
          <w:szCs w:val="24"/>
          <w:lang w:eastAsia="es-CL"/>
        </w:rPr>
        <w:t>tre el 18-10-2019 al 31-03-2020</w:t>
      </w:r>
    </w:p>
    <w:p w14:paraId="0FB4569A" w14:textId="00978DEA" w:rsidR="00474C8C" w:rsidRPr="00A939F8" w:rsidRDefault="006507EB" w:rsidP="006507EB">
      <w:pPr>
        <w:autoSpaceDE w:val="0"/>
        <w:autoSpaceDN w:val="0"/>
        <w:adjustRightInd w:val="0"/>
        <w:spacing w:after="0" w:line="240" w:lineRule="auto"/>
        <w:jc w:val="center"/>
        <w:rPr>
          <w:rFonts w:ascii="Arial" w:hAnsi="Arial" w:cs="Arial"/>
          <w:sz w:val="24"/>
          <w:szCs w:val="24"/>
          <w:lang w:eastAsia="es-CL"/>
        </w:rPr>
      </w:pPr>
      <w:r w:rsidRPr="00A939F8">
        <w:rPr>
          <w:rFonts w:ascii="Arial" w:hAnsi="Arial" w:cs="Arial"/>
          <w:sz w:val="24"/>
          <w:szCs w:val="24"/>
          <w:lang w:eastAsia="es-CL"/>
        </w:rPr>
        <w:t>Cifras a</w:t>
      </w:r>
      <w:r w:rsidR="00474C8C" w:rsidRPr="00A939F8">
        <w:rPr>
          <w:rFonts w:ascii="Arial" w:hAnsi="Arial" w:cs="Arial"/>
          <w:sz w:val="24"/>
          <w:szCs w:val="24"/>
          <w:lang w:eastAsia="es-CL"/>
        </w:rPr>
        <w:t xml:space="preserve">ctualizadas con </w:t>
      </w:r>
      <w:r w:rsidR="00A33B0B" w:rsidRPr="00A939F8">
        <w:rPr>
          <w:rFonts w:ascii="Arial" w:hAnsi="Arial" w:cs="Arial"/>
          <w:sz w:val="24"/>
          <w:szCs w:val="24"/>
          <w:lang w:eastAsia="es-CL"/>
        </w:rPr>
        <w:t xml:space="preserve">información extraída del SAF al </w:t>
      </w:r>
      <w:r w:rsidR="00BF6FF5">
        <w:rPr>
          <w:rFonts w:ascii="Arial" w:hAnsi="Arial" w:cs="Arial"/>
          <w:sz w:val="24"/>
          <w:szCs w:val="24"/>
          <w:lang w:eastAsia="es-CL"/>
        </w:rPr>
        <w:t>11-10</w:t>
      </w:r>
      <w:r w:rsidR="00E803CD">
        <w:rPr>
          <w:rFonts w:ascii="Arial" w:hAnsi="Arial" w:cs="Arial"/>
          <w:sz w:val="24"/>
          <w:szCs w:val="24"/>
          <w:lang w:eastAsia="es-CL"/>
        </w:rPr>
        <w:t>-2024</w:t>
      </w:r>
      <w:r w:rsidR="006D04A8" w:rsidRPr="00A939F8">
        <w:rPr>
          <w:rStyle w:val="Refdenotaalpie"/>
          <w:rFonts w:ascii="Arial" w:hAnsi="Arial" w:cs="Arial"/>
          <w:sz w:val="24"/>
          <w:szCs w:val="24"/>
          <w:lang w:eastAsia="es-CL"/>
        </w:rPr>
        <w:footnoteReference w:id="1"/>
      </w:r>
    </w:p>
    <w:p w14:paraId="3D435AAD" w14:textId="77777777" w:rsidR="00276E9D" w:rsidRPr="00A975DA" w:rsidRDefault="00276E9D" w:rsidP="006507EB">
      <w:pPr>
        <w:autoSpaceDE w:val="0"/>
        <w:autoSpaceDN w:val="0"/>
        <w:adjustRightInd w:val="0"/>
        <w:spacing w:after="0" w:line="240" w:lineRule="auto"/>
        <w:jc w:val="center"/>
        <w:rPr>
          <w:rFonts w:ascii="Arial" w:hAnsi="Arial" w:cs="Arial"/>
          <w:sz w:val="24"/>
          <w:szCs w:val="24"/>
          <w:highlight w:val="yellow"/>
          <w:lang w:eastAsia="es-CL"/>
        </w:rPr>
      </w:pPr>
    </w:p>
    <w:p w14:paraId="304B8843" w14:textId="77777777" w:rsidR="00276E9D" w:rsidRPr="00A975DA" w:rsidRDefault="00276E9D" w:rsidP="006507EB">
      <w:pPr>
        <w:autoSpaceDE w:val="0"/>
        <w:autoSpaceDN w:val="0"/>
        <w:adjustRightInd w:val="0"/>
        <w:spacing w:after="0" w:line="240" w:lineRule="auto"/>
        <w:jc w:val="center"/>
        <w:rPr>
          <w:rFonts w:ascii="Arial" w:hAnsi="Arial" w:cs="Arial"/>
          <w:sz w:val="24"/>
          <w:szCs w:val="24"/>
          <w:highlight w:val="yellow"/>
          <w:lang w:eastAsia="es-CL"/>
        </w:rPr>
      </w:pPr>
    </w:p>
    <w:p w14:paraId="5726B3FF" w14:textId="77777777" w:rsidR="004C386A" w:rsidRPr="00A975DA" w:rsidRDefault="004C386A" w:rsidP="00474C8C">
      <w:pPr>
        <w:autoSpaceDE w:val="0"/>
        <w:autoSpaceDN w:val="0"/>
        <w:adjustRightInd w:val="0"/>
        <w:spacing w:after="0" w:line="240" w:lineRule="auto"/>
        <w:jc w:val="both"/>
        <w:rPr>
          <w:rFonts w:ascii="Arial" w:hAnsi="Arial" w:cs="Arial"/>
          <w:sz w:val="24"/>
          <w:szCs w:val="24"/>
          <w:highlight w:val="yellow"/>
          <w:u w:val="single"/>
          <w:lang w:eastAsia="es-CL"/>
        </w:rPr>
      </w:pPr>
    </w:p>
    <w:p w14:paraId="0F5CFAFD" w14:textId="5CFDDCAA" w:rsidR="00474C8C" w:rsidRPr="00A939F8" w:rsidRDefault="00537145" w:rsidP="00474C8C">
      <w:pPr>
        <w:autoSpaceDE w:val="0"/>
        <w:autoSpaceDN w:val="0"/>
        <w:adjustRightInd w:val="0"/>
        <w:spacing w:after="0" w:line="240" w:lineRule="auto"/>
        <w:jc w:val="both"/>
        <w:rPr>
          <w:rFonts w:ascii="Arial" w:hAnsi="Arial" w:cs="Arial"/>
          <w:b/>
          <w:sz w:val="24"/>
          <w:szCs w:val="24"/>
          <w:lang w:eastAsia="es-CL"/>
        </w:rPr>
      </w:pPr>
      <w:r w:rsidRPr="00A939F8">
        <w:rPr>
          <w:rFonts w:ascii="Arial" w:hAnsi="Arial" w:cs="Arial"/>
          <w:b/>
          <w:sz w:val="24"/>
          <w:szCs w:val="24"/>
          <w:lang w:eastAsia="es-CL"/>
        </w:rPr>
        <w:t>1- Ingresos generales</w:t>
      </w:r>
    </w:p>
    <w:p w14:paraId="38B86DA6" w14:textId="16768092" w:rsidR="00474C8C" w:rsidRPr="00A939F8" w:rsidRDefault="00474C8C" w:rsidP="00474C8C">
      <w:pPr>
        <w:autoSpaceDE w:val="0"/>
        <w:autoSpaceDN w:val="0"/>
        <w:adjustRightInd w:val="0"/>
        <w:spacing w:after="0" w:line="240" w:lineRule="auto"/>
        <w:jc w:val="both"/>
        <w:rPr>
          <w:rFonts w:ascii="Arial" w:hAnsi="Arial" w:cs="Arial"/>
          <w:sz w:val="24"/>
          <w:szCs w:val="24"/>
          <w:lang w:eastAsia="es-CL"/>
        </w:rPr>
      </w:pPr>
      <w:r w:rsidRPr="00A939F8">
        <w:rPr>
          <w:rFonts w:ascii="Arial" w:hAnsi="Arial" w:cs="Arial"/>
          <w:sz w:val="24"/>
          <w:szCs w:val="24"/>
          <w:lang w:eastAsia="es-CL"/>
        </w:rPr>
        <w:t xml:space="preserve">Total de </w:t>
      </w:r>
      <w:r w:rsidR="008011CC" w:rsidRPr="00A939F8">
        <w:rPr>
          <w:rFonts w:ascii="Arial" w:hAnsi="Arial" w:cs="Arial"/>
          <w:sz w:val="24"/>
          <w:szCs w:val="24"/>
          <w:lang w:eastAsia="es-CL"/>
        </w:rPr>
        <w:t>c</w:t>
      </w:r>
      <w:r w:rsidRPr="00A939F8">
        <w:rPr>
          <w:rFonts w:ascii="Arial" w:hAnsi="Arial" w:cs="Arial"/>
          <w:sz w:val="24"/>
          <w:szCs w:val="24"/>
          <w:lang w:eastAsia="es-CL"/>
        </w:rPr>
        <w:t>asos (RUC):</w:t>
      </w:r>
      <w:r w:rsidR="00C30DBA" w:rsidRPr="00A939F8">
        <w:rPr>
          <w:rFonts w:ascii="Arial" w:hAnsi="Arial" w:cs="Arial"/>
          <w:sz w:val="24"/>
          <w:szCs w:val="24"/>
          <w:lang w:eastAsia="es-CL"/>
        </w:rPr>
        <w:t xml:space="preserve"> </w:t>
      </w:r>
      <w:r w:rsidR="000A49EC">
        <w:rPr>
          <w:rFonts w:ascii="Arial" w:hAnsi="Arial" w:cs="Arial"/>
          <w:sz w:val="24"/>
          <w:szCs w:val="24"/>
          <w:lang w:eastAsia="es-CL"/>
        </w:rPr>
        <w:t>10142</w:t>
      </w:r>
      <w:r w:rsidRPr="00A939F8">
        <w:rPr>
          <w:rStyle w:val="Refdenotaalpie"/>
          <w:rFonts w:ascii="Arial" w:hAnsi="Arial" w:cs="Arial"/>
          <w:sz w:val="24"/>
          <w:szCs w:val="24"/>
          <w:lang w:eastAsia="es-CL"/>
        </w:rPr>
        <w:footnoteReference w:id="2"/>
      </w:r>
    </w:p>
    <w:p w14:paraId="16534AC1" w14:textId="2480A5F2" w:rsidR="00474C8C" w:rsidRPr="00A939F8" w:rsidRDefault="00CA17FD" w:rsidP="00474C8C">
      <w:pPr>
        <w:autoSpaceDE w:val="0"/>
        <w:autoSpaceDN w:val="0"/>
        <w:adjustRightInd w:val="0"/>
        <w:spacing w:after="0" w:line="240" w:lineRule="auto"/>
        <w:jc w:val="both"/>
        <w:rPr>
          <w:rFonts w:ascii="Arial" w:hAnsi="Arial" w:cs="Arial"/>
          <w:sz w:val="24"/>
          <w:szCs w:val="24"/>
          <w:lang w:eastAsia="es-CL"/>
        </w:rPr>
      </w:pPr>
      <w:r w:rsidRPr="00A939F8">
        <w:rPr>
          <w:rFonts w:ascii="Arial" w:hAnsi="Arial" w:cs="Arial"/>
          <w:sz w:val="24"/>
          <w:szCs w:val="24"/>
          <w:lang w:eastAsia="es-CL"/>
        </w:rPr>
        <w:t xml:space="preserve">Total de relaciones: </w:t>
      </w:r>
      <w:r w:rsidR="00DB676B" w:rsidRPr="00597872">
        <w:rPr>
          <w:rFonts w:ascii="Arial" w:hAnsi="Arial" w:cs="Arial"/>
          <w:sz w:val="24"/>
          <w:szCs w:val="24"/>
          <w:lang w:eastAsia="es-CL"/>
        </w:rPr>
        <w:t>1</w:t>
      </w:r>
      <w:r w:rsidR="00C7609C">
        <w:rPr>
          <w:rFonts w:ascii="Arial" w:hAnsi="Arial" w:cs="Arial"/>
          <w:sz w:val="24"/>
          <w:szCs w:val="24"/>
          <w:lang w:eastAsia="es-CL"/>
        </w:rPr>
        <w:t>3432</w:t>
      </w:r>
      <w:r w:rsidR="00474C8C" w:rsidRPr="00A939F8">
        <w:rPr>
          <w:rStyle w:val="Refdenotaalpie"/>
          <w:rFonts w:ascii="Arial" w:hAnsi="Arial" w:cs="Arial"/>
          <w:sz w:val="24"/>
          <w:szCs w:val="24"/>
          <w:lang w:eastAsia="es-CL"/>
        </w:rPr>
        <w:footnoteReference w:id="3"/>
      </w:r>
    </w:p>
    <w:p w14:paraId="1467929A" w14:textId="77777777" w:rsidR="00474C8C" w:rsidRDefault="00474C8C" w:rsidP="00474C8C">
      <w:pPr>
        <w:autoSpaceDE w:val="0"/>
        <w:autoSpaceDN w:val="0"/>
        <w:adjustRightInd w:val="0"/>
        <w:spacing w:after="0" w:line="240" w:lineRule="auto"/>
        <w:jc w:val="both"/>
        <w:rPr>
          <w:rFonts w:ascii="Arial" w:hAnsi="Arial" w:cs="Arial"/>
          <w:sz w:val="24"/>
          <w:szCs w:val="24"/>
          <w:highlight w:val="yellow"/>
          <w:lang w:eastAsia="es-CL"/>
        </w:rPr>
      </w:pPr>
    </w:p>
    <w:p w14:paraId="61A50D20" w14:textId="77777777" w:rsidR="00E7193B" w:rsidRPr="00A975DA" w:rsidRDefault="00E7193B" w:rsidP="00474C8C">
      <w:pPr>
        <w:autoSpaceDE w:val="0"/>
        <w:autoSpaceDN w:val="0"/>
        <w:adjustRightInd w:val="0"/>
        <w:spacing w:after="0" w:line="240" w:lineRule="auto"/>
        <w:jc w:val="both"/>
        <w:rPr>
          <w:rFonts w:ascii="Arial" w:hAnsi="Arial" w:cs="Arial"/>
          <w:sz w:val="24"/>
          <w:szCs w:val="24"/>
          <w:highlight w:val="yellow"/>
          <w:lang w:eastAsia="es-CL"/>
        </w:rPr>
      </w:pPr>
    </w:p>
    <w:p w14:paraId="646FD22B" w14:textId="3DD18337" w:rsidR="00474C8C" w:rsidRPr="00A939F8" w:rsidRDefault="00537145" w:rsidP="00474C8C">
      <w:pPr>
        <w:autoSpaceDE w:val="0"/>
        <w:autoSpaceDN w:val="0"/>
        <w:adjustRightInd w:val="0"/>
        <w:spacing w:after="0" w:line="240" w:lineRule="auto"/>
        <w:jc w:val="both"/>
        <w:rPr>
          <w:rFonts w:ascii="Arial" w:hAnsi="Arial" w:cs="Arial"/>
          <w:b/>
          <w:sz w:val="24"/>
          <w:szCs w:val="24"/>
          <w:lang w:eastAsia="es-CL"/>
        </w:rPr>
      </w:pPr>
      <w:r w:rsidRPr="00A939F8">
        <w:rPr>
          <w:rFonts w:ascii="Arial" w:hAnsi="Arial" w:cs="Arial"/>
          <w:b/>
          <w:sz w:val="24"/>
          <w:szCs w:val="24"/>
          <w:lang w:eastAsia="es-CL"/>
        </w:rPr>
        <w:t>2- Desglose por RUC</w:t>
      </w:r>
    </w:p>
    <w:p w14:paraId="21F0892B" w14:textId="3BBC28E0" w:rsidR="00276E9D" w:rsidRDefault="00276E9D" w:rsidP="00276E9D">
      <w:pPr>
        <w:autoSpaceDE w:val="0"/>
        <w:autoSpaceDN w:val="0"/>
        <w:adjustRightInd w:val="0"/>
        <w:spacing w:after="0" w:line="240" w:lineRule="auto"/>
        <w:jc w:val="both"/>
        <w:rPr>
          <w:rFonts w:ascii="Arial" w:hAnsi="Arial" w:cs="Arial"/>
          <w:b/>
          <w:sz w:val="24"/>
          <w:szCs w:val="24"/>
          <w:lang w:eastAsia="es-CL"/>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0"/>
        <w:gridCol w:w="1560"/>
      </w:tblGrid>
      <w:tr w:rsidR="00E7193B" w:rsidRPr="00F629C0" w14:paraId="02910E47" w14:textId="77777777" w:rsidTr="00E7193B">
        <w:trPr>
          <w:trHeight w:val="300"/>
          <w:jc w:val="center"/>
        </w:trPr>
        <w:tc>
          <w:tcPr>
            <w:tcW w:w="3820" w:type="dxa"/>
            <w:shd w:val="clear" w:color="auto" w:fill="B8CCE4" w:themeFill="accent1" w:themeFillTint="66"/>
            <w:noWrap/>
            <w:vAlign w:val="bottom"/>
            <w:hideMark/>
          </w:tcPr>
          <w:p w14:paraId="1977DF4C" w14:textId="77777777" w:rsidR="00E7193B" w:rsidRPr="00F629C0" w:rsidRDefault="00E7193B" w:rsidP="00F629C0">
            <w:pPr>
              <w:spacing w:after="0" w:line="240" w:lineRule="auto"/>
              <w:jc w:val="center"/>
              <w:rPr>
                <w:rFonts w:ascii="Arial" w:eastAsia="Times New Roman" w:hAnsi="Arial" w:cs="Arial"/>
                <w:b/>
                <w:color w:val="000000"/>
                <w:lang w:eastAsia="es-CL"/>
              </w:rPr>
            </w:pPr>
            <w:r w:rsidRPr="00F629C0">
              <w:rPr>
                <w:rFonts w:ascii="Arial" w:eastAsia="Times New Roman" w:hAnsi="Arial" w:cs="Arial"/>
                <w:b/>
                <w:color w:val="000000"/>
                <w:lang w:eastAsia="es-CL"/>
              </w:rPr>
              <w:t>Estado del caso</w:t>
            </w:r>
          </w:p>
        </w:tc>
        <w:tc>
          <w:tcPr>
            <w:tcW w:w="1560" w:type="dxa"/>
            <w:shd w:val="clear" w:color="auto" w:fill="B8CCE4" w:themeFill="accent1" w:themeFillTint="66"/>
            <w:noWrap/>
            <w:vAlign w:val="bottom"/>
            <w:hideMark/>
          </w:tcPr>
          <w:p w14:paraId="26BE1F7B" w14:textId="77777777" w:rsidR="00E7193B" w:rsidRPr="00F629C0" w:rsidRDefault="00E7193B" w:rsidP="00F629C0">
            <w:pPr>
              <w:spacing w:after="0" w:line="240" w:lineRule="auto"/>
              <w:jc w:val="center"/>
              <w:rPr>
                <w:rFonts w:ascii="Arial" w:eastAsia="Times New Roman" w:hAnsi="Arial" w:cs="Arial"/>
                <w:b/>
                <w:color w:val="000000"/>
                <w:lang w:eastAsia="es-CL"/>
              </w:rPr>
            </w:pPr>
            <w:r w:rsidRPr="00F629C0">
              <w:rPr>
                <w:rFonts w:ascii="Arial" w:eastAsia="Times New Roman" w:hAnsi="Arial" w:cs="Arial"/>
                <w:b/>
                <w:color w:val="000000"/>
                <w:lang w:eastAsia="es-CL"/>
              </w:rPr>
              <w:t>N° casos</w:t>
            </w:r>
          </w:p>
        </w:tc>
      </w:tr>
      <w:tr w:rsidR="00916C75" w:rsidRPr="00F629C0" w14:paraId="204BF7E4" w14:textId="77777777" w:rsidTr="00911AFC">
        <w:trPr>
          <w:trHeight w:val="300"/>
          <w:jc w:val="center"/>
        </w:trPr>
        <w:tc>
          <w:tcPr>
            <w:tcW w:w="3820" w:type="dxa"/>
            <w:shd w:val="clear" w:color="auto" w:fill="auto"/>
            <w:noWrap/>
            <w:vAlign w:val="bottom"/>
            <w:hideMark/>
          </w:tcPr>
          <w:p w14:paraId="11DD7CA2" w14:textId="77777777" w:rsidR="00916C75" w:rsidRPr="00F629C0" w:rsidRDefault="00916C75" w:rsidP="00916C75">
            <w:pPr>
              <w:spacing w:after="0" w:line="240" w:lineRule="auto"/>
              <w:rPr>
                <w:rFonts w:ascii="Arial" w:eastAsia="Times New Roman" w:hAnsi="Arial" w:cs="Arial"/>
                <w:color w:val="000000"/>
                <w:lang w:eastAsia="es-CL"/>
              </w:rPr>
            </w:pPr>
            <w:r w:rsidRPr="00F629C0">
              <w:rPr>
                <w:rFonts w:ascii="Arial" w:eastAsia="Times New Roman" w:hAnsi="Arial" w:cs="Arial"/>
                <w:color w:val="000000"/>
                <w:lang w:eastAsia="es-CL"/>
              </w:rPr>
              <w:t>Terminado</w:t>
            </w:r>
          </w:p>
        </w:tc>
        <w:tc>
          <w:tcPr>
            <w:tcW w:w="1560" w:type="dxa"/>
            <w:shd w:val="clear" w:color="auto" w:fill="auto"/>
            <w:noWrap/>
            <w:hideMark/>
          </w:tcPr>
          <w:p w14:paraId="7903073A" w14:textId="67E642A3" w:rsidR="00A15A89" w:rsidRPr="00F629C0" w:rsidRDefault="00C7609C" w:rsidP="00716519">
            <w:pPr>
              <w:spacing w:after="0" w:line="240" w:lineRule="auto"/>
              <w:jc w:val="center"/>
              <w:rPr>
                <w:rFonts w:ascii="Arial" w:eastAsia="Times New Roman" w:hAnsi="Arial" w:cs="Arial"/>
                <w:color w:val="000000"/>
                <w:lang w:eastAsia="es-CL"/>
              </w:rPr>
            </w:pPr>
            <w:r>
              <w:rPr>
                <w:rFonts w:ascii="Arial" w:eastAsia="Times New Roman" w:hAnsi="Arial" w:cs="Arial"/>
                <w:color w:val="000000"/>
                <w:lang w:eastAsia="es-CL"/>
              </w:rPr>
              <w:t>8</w:t>
            </w:r>
            <w:r w:rsidR="00BF6FF5">
              <w:rPr>
                <w:rFonts w:ascii="Arial" w:eastAsia="Times New Roman" w:hAnsi="Arial" w:cs="Arial"/>
                <w:color w:val="000000"/>
                <w:lang w:eastAsia="es-CL"/>
              </w:rPr>
              <w:t>904</w:t>
            </w:r>
          </w:p>
        </w:tc>
      </w:tr>
      <w:tr w:rsidR="00916C75" w:rsidRPr="00F629C0" w14:paraId="4A22FBF3" w14:textId="77777777" w:rsidTr="00911AFC">
        <w:trPr>
          <w:trHeight w:val="300"/>
          <w:jc w:val="center"/>
        </w:trPr>
        <w:tc>
          <w:tcPr>
            <w:tcW w:w="3820" w:type="dxa"/>
            <w:shd w:val="clear" w:color="auto" w:fill="auto"/>
            <w:noWrap/>
            <w:vAlign w:val="bottom"/>
            <w:hideMark/>
          </w:tcPr>
          <w:p w14:paraId="1D7199FB" w14:textId="77777777" w:rsidR="00916C75" w:rsidRPr="00F629C0" w:rsidRDefault="00916C75" w:rsidP="00916C75">
            <w:pPr>
              <w:spacing w:after="0" w:line="240" w:lineRule="auto"/>
              <w:rPr>
                <w:rFonts w:ascii="Arial" w:eastAsia="Times New Roman" w:hAnsi="Arial" w:cs="Arial"/>
                <w:color w:val="000000"/>
                <w:lang w:eastAsia="es-CL"/>
              </w:rPr>
            </w:pPr>
            <w:r w:rsidRPr="00F629C0">
              <w:rPr>
                <w:rFonts w:ascii="Arial" w:eastAsia="Times New Roman" w:hAnsi="Arial" w:cs="Arial"/>
                <w:color w:val="000000"/>
                <w:lang w:eastAsia="es-CL"/>
              </w:rPr>
              <w:t>Vigente</w:t>
            </w:r>
          </w:p>
        </w:tc>
        <w:tc>
          <w:tcPr>
            <w:tcW w:w="1560" w:type="dxa"/>
            <w:shd w:val="clear" w:color="auto" w:fill="auto"/>
            <w:noWrap/>
            <w:hideMark/>
          </w:tcPr>
          <w:p w14:paraId="2A2CF5D8" w14:textId="0FCFACD7" w:rsidR="00916C75" w:rsidRPr="00F629C0" w:rsidRDefault="00C7609C" w:rsidP="00716519">
            <w:pPr>
              <w:spacing w:after="0" w:line="240" w:lineRule="auto"/>
              <w:jc w:val="center"/>
              <w:rPr>
                <w:rFonts w:ascii="Arial" w:eastAsia="Times New Roman" w:hAnsi="Arial" w:cs="Arial"/>
                <w:color w:val="000000"/>
                <w:lang w:eastAsia="es-CL"/>
              </w:rPr>
            </w:pPr>
            <w:r>
              <w:rPr>
                <w:rFonts w:ascii="Arial" w:eastAsia="Times New Roman" w:hAnsi="Arial" w:cs="Arial"/>
                <w:color w:val="000000"/>
                <w:lang w:eastAsia="es-CL"/>
              </w:rPr>
              <w:t>1</w:t>
            </w:r>
            <w:r w:rsidR="00BF6FF5">
              <w:rPr>
                <w:rFonts w:ascii="Arial" w:eastAsia="Times New Roman" w:hAnsi="Arial" w:cs="Arial"/>
                <w:color w:val="000000"/>
                <w:lang w:eastAsia="es-CL"/>
              </w:rPr>
              <w:t>223</w:t>
            </w:r>
          </w:p>
        </w:tc>
      </w:tr>
      <w:tr w:rsidR="00E7193B" w:rsidRPr="00F629C0" w14:paraId="1B1DE71D" w14:textId="77777777" w:rsidTr="00E7193B">
        <w:trPr>
          <w:trHeight w:val="300"/>
          <w:jc w:val="center"/>
        </w:trPr>
        <w:tc>
          <w:tcPr>
            <w:tcW w:w="3820" w:type="dxa"/>
            <w:shd w:val="clear" w:color="auto" w:fill="auto"/>
            <w:noWrap/>
            <w:vAlign w:val="bottom"/>
            <w:hideMark/>
          </w:tcPr>
          <w:p w14:paraId="3B286BB3" w14:textId="77777777" w:rsidR="00E7193B" w:rsidRPr="00F629C0" w:rsidRDefault="00E7193B" w:rsidP="00F629C0">
            <w:pPr>
              <w:spacing w:after="0" w:line="240" w:lineRule="auto"/>
              <w:rPr>
                <w:rFonts w:ascii="Arial" w:eastAsia="Times New Roman" w:hAnsi="Arial" w:cs="Arial"/>
                <w:color w:val="000000"/>
                <w:lang w:eastAsia="es-CL"/>
              </w:rPr>
            </w:pPr>
            <w:r w:rsidRPr="00F629C0">
              <w:rPr>
                <w:rFonts w:ascii="Arial" w:eastAsia="Times New Roman" w:hAnsi="Arial" w:cs="Arial"/>
                <w:color w:val="000000"/>
                <w:lang w:eastAsia="es-CL"/>
              </w:rPr>
              <w:t>Otros</w:t>
            </w:r>
          </w:p>
        </w:tc>
        <w:tc>
          <w:tcPr>
            <w:tcW w:w="1560" w:type="dxa"/>
            <w:shd w:val="clear" w:color="auto" w:fill="auto"/>
            <w:noWrap/>
            <w:vAlign w:val="bottom"/>
            <w:hideMark/>
          </w:tcPr>
          <w:p w14:paraId="18B88460" w14:textId="4B8B682C" w:rsidR="00E7193B" w:rsidRPr="00F629C0" w:rsidRDefault="00BF6FF5" w:rsidP="00716519">
            <w:pPr>
              <w:spacing w:after="0" w:line="240" w:lineRule="auto"/>
              <w:jc w:val="center"/>
              <w:rPr>
                <w:rFonts w:ascii="Arial" w:eastAsia="Times New Roman" w:hAnsi="Arial" w:cs="Arial"/>
                <w:color w:val="000000"/>
                <w:lang w:eastAsia="es-CL"/>
              </w:rPr>
            </w:pPr>
            <w:r>
              <w:rPr>
                <w:rFonts w:ascii="Arial" w:eastAsia="Times New Roman" w:hAnsi="Arial" w:cs="Arial"/>
                <w:color w:val="000000"/>
                <w:lang w:eastAsia="es-CL"/>
              </w:rPr>
              <w:t>15</w:t>
            </w:r>
          </w:p>
        </w:tc>
      </w:tr>
      <w:tr w:rsidR="00E7193B" w:rsidRPr="00F629C0" w14:paraId="090451B0" w14:textId="77777777" w:rsidTr="00E7193B">
        <w:trPr>
          <w:trHeight w:val="300"/>
          <w:jc w:val="center"/>
        </w:trPr>
        <w:tc>
          <w:tcPr>
            <w:tcW w:w="3820" w:type="dxa"/>
            <w:shd w:val="clear" w:color="auto" w:fill="auto"/>
            <w:noWrap/>
            <w:vAlign w:val="bottom"/>
            <w:hideMark/>
          </w:tcPr>
          <w:p w14:paraId="653812BB" w14:textId="77777777" w:rsidR="00E7193B" w:rsidRPr="00F629C0" w:rsidRDefault="00E7193B" w:rsidP="00F629C0">
            <w:pPr>
              <w:spacing w:after="0" w:line="240" w:lineRule="auto"/>
              <w:rPr>
                <w:rFonts w:ascii="Arial" w:eastAsia="Times New Roman" w:hAnsi="Arial" w:cs="Arial"/>
                <w:color w:val="000000"/>
                <w:lang w:eastAsia="es-CL"/>
              </w:rPr>
            </w:pPr>
            <w:r w:rsidRPr="00F629C0">
              <w:rPr>
                <w:rFonts w:ascii="Arial" w:eastAsia="Times New Roman" w:hAnsi="Arial" w:cs="Arial"/>
                <w:color w:val="000000"/>
                <w:lang w:eastAsia="es-CL"/>
              </w:rPr>
              <w:t>Total general</w:t>
            </w:r>
          </w:p>
        </w:tc>
        <w:tc>
          <w:tcPr>
            <w:tcW w:w="1560" w:type="dxa"/>
            <w:shd w:val="clear" w:color="auto" w:fill="auto"/>
            <w:noWrap/>
            <w:vAlign w:val="bottom"/>
            <w:hideMark/>
          </w:tcPr>
          <w:p w14:paraId="33338FEA" w14:textId="0DCA8D32" w:rsidR="00E7193B" w:rsidRPr="00597872" w:rsidRDefault="000A49EC" w:rsidP="00716519">
            <w:pPr>
              <w:spacing w:after="0" w:line="240" w:lineRule="auto"/>
              <w:jc w:val="center"/>
              <w:rPr>
                <w:rFonts w:ascii="Arial" w:eastAsia="Times New Roman" w:hAnsi="Arial" w:cs="Arial"/>
                <w:b/>
                <w:color w:val="000000"/>
                <w:lang w:eastAsia="es-CL"/>
              </w:rPr>
            </w:pPr>
            <w:r>
              <w:rPr>
                <w:rFonts w:ascii="Arial" w:eastAsia="Times New Roman" w:hAnsi="Arial" w:cs="Arial"/>
                <w:b/>
                <w:color w:val="000000"/>
                <w:lang w:eastAsia="es-CL"/>
              </w:rPr>
              <w:t>10142</w:t>
            </w:r>
          </w:p>
        </w:tc>
      </w:tr>
    </w:tbl>
    <w:p w14:paraId="3C78F0AB" w14:textId="316417F8" w:rsidR="00F629C0" w:rsidRDefault="00F629C0" w:rsidP="00276E9D">
      <w:pPr>
        <w:autoSpaceDE w:val="0"/>
        <w:autoSpaceDN w:val="0"/>
        <w:adjustRightInd w:val="0"/>
        <w:spacing w:after="0" w:line="240" w:lineRule="auto"/>
        <w:jc w:val="both"/>
        <w:rPr>
          <w:rFonts w:ascii="Arial" w:hAnsi="Arial" w:cs="Arial"/>
          <w:b/>
          <w:sz w:val="24"/>
          <w:szCs w:val="24"/>
          <w:lang w:eastAsia="es-CL"/>
        </w:rPr>
      </w:pPr>
    </w:p>
    <w:p w14:paraId="71464815" w14:textId="77777777" w:rsidR="00E7193B" w:rsidRDefault="00E7193B" w:rsidP="00276E9D">
      <w:pPr>
        <w:autoSpaceDE w:val="0"/>
        <w:autoSpaceDN w:val="0"/>
        <w:adjustRightInd w:val="0"/>
        <w:spacing w:after="0" w:line="240" w:lineRule="auto"/>
        <w:jc w:val="both"/>
        <w:rPr>
          <w:rFonts w:ascii="Arial" w:hAnsi="Arial" w:cs="Arial"/>
          <w:b/>
          <w:sz w:val="24"/>
          <w:szCs w:val="24"/>
          <w:lang w:eastAsia="es-CL"/>
        </w:rPr>
      </w:pPr>
    </w:p>
    <w:p w14:paraId="67F8647A" w14:textId="54A75F00" w:rsidR="00F629C0" w:rsidRDefault="00F629C0" w:rsidP="00276E9D">
      <w:pPr>
        <w:autoSpaceDE w:val="0"/>
        <w:autoSpaceDN w:val="0"/>
        <w:adjustRightInd w:val="0"/>
        <w:spacing w:after="0" w:line="240" w:lineRule="auto"/>
        <w:jc w:val="both"/>
        <w:rPr>
          <w:rFonts w:ascii="Arial" w:hAnsi="Arial" w:cs="Arial"/>
          <w:b/>
          <w:sz w:val="24"/>
          <w:szCs w:val="24"/>
          <w:lang w:eastAsia="es-CL"/>
        </w:rPr>
      </w:pPr>
      <w:r>
        <w:rPr>
          <w:rFonts w:ascii="Arial" w:hAnsi="Arial" w:cs="Arial"/>
          <w:b/>
          <w:sz w:val="24"/>
          <w:szCs w:val="24"/>
          <w:lang w:eastAsia="es-CL"/>
        </w:rPr>
        <w:t>3. Tipos de término por RUC</w:t>
      </w:r>
    </w:p>
    <w:p w14:paraId="669D864B" w14:textId="77777777" w:rsidR="00F629C0" w:rsidRDefault="00F629C0" w:rsidP="00276E9D">
      <w:pPr>
        <w:autoSpaceDE w:val="0"/>
        <w:autoSpaceDN w:val="0"/>
        <w:adjustRightInd w:val="0"/>
        <w:spacing w:after="0" w:line="240" w:lineRule="auto"/>
        <w:jc w:val="both"/>
        <w:rPr>
          <w:rFonts w:ascii="Arial" w:hAnsi="Arial" w:cs="Arial"/>
          <w:b/>
          <w:sz w:val="24"/>
          <w:szCs w:val="24"/>
          <w:lang w:eastAsia="es-CL"/>
        </w:rPr>
      </w:pPr>
    </w:p>
    <w:tbl>
      <w:tblPr>
        <w:tblW w:w="5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gridCol w:w="1674"/>
      </w:tblGrid>
      <w:tr w:rsidR="00087CA8" w:rsidRPr="00B53CD0" w14:paraId="606C944A" w14:textId="5E991F1A" w:rsidTr="00087CA8">
        <w:trPr>
          <w:trHeight w:val="300"/>
          <w:jc w:val="center"/>
        </w:trPr>
        <w:tc>
          <w:tcPr>
            <w:tcW w:w="4106" w:type="dxa"/>
            <w:shd w:val="clear" w:color="auto" w:fill="B8CCE4" w:themeFill="accent1" w:themeFillTint="66"/>
            <w:noWrap/>
            <w:vAlign w:val="center"/>
          </w:tcPr>
          <w:p w14:paraId="68D866C1" w14:textId="2F9EEF0D" w:rsidR="00087CA8" w:rsidRPr="00B53CD0" w:rsidRDefault="00087CA8" w:rsidP="000428AC">
            <w:pPr>
              <w:spacing w:after="0" w:line="240" w:lineRule="auto"/>
              <w:jc w:val="center"/>
              <w:rPr>
                <w:rFonts w:ascii="Arial" w:eastAsia="Times New Roman" w:hAnsi="Arial" w:cs="Arial"/>
                <w:b/>
                <w:bCs/>
                <w:color w:val="000000"/>
                <w:szCs w:val="20"/>
                <w:lang w:eastAsia="es-CL"/>
              </w:rPr>
            </w:pPr>
            <w:r w:rsidRPr="00B53CD0">
              <w:rPr>
                <w:rFonts w:ascii="Arial" w:eastAsia="Times New Roman" w:hAnsi="Arial" w:cs="Arial"/>
                <w:b/>
                <w:bCs/>
                <w:color w:val="000000"/>
                <w:szCs w:val="20"/>
                <w:lang w:eastAsia="es-CL"/>
              </w:rPr>
              <w:t>Motivo de Término</w:t>
            </w:r>
          </w:p>
        </w:tc>
        <w:tc>
          <w:tcPr>
            <w:tcW w:w="1674" w:type="dxa"/>
            <w:shd w:val="clear" w:color="auto" w:fill="B8CCE4" w:themeFill="accent1" w:themeFillTint="66"/>
            <w:noWrap/>
            <w:vAlign w:val="center"/>
          </w:tcPr>
          <w:p w14:paraId="50EAF2AC" w14:textId="0B9000D5" w:rsidR="00087CA8" w:rsidRPr="00B53CD0" w:rsidRDefault="00087CA8" w:rsidP="00F629C0">
            <w:pPr>
              <w:spacing w:after="0" w:line="240" w:lineRule="auto"/>
              <w:jc w:val="center"/>
              <w:rPr>
                <w:rFonts w:ascii="Arial" w:eastAsia="Times New Roman" w:hAnsi="Arial" w:cs="Arial"/>
                <w:b/>
                <w:bCs/>
                <w:color w:val="000000"/>
                <w:szCs w:val="20"/>
                <w:lang w:eastAsia="es-CL"/>
              </w:rPr>
            </w:pPr>
            <w:r w:rsidRPr="00B53CD0">
              <w:rPr>
                <w:rFonts w:ascii="Arial" w:eastAsia="Times New Roman" w:hAnsi="Arial" w:cs="Arial"/>
                <w:b/>
                <w:bCs/>
                <w:color w:val="000000"/>
                <w:szCs w:val="20"/>
                <w:lang w:eastAsia="es-CL"/>
              </w:rPr>
              <w:t>N° de casos</w:t>
            </w:r>
          </w:p>
        </w:tc>
      </w:tr>
      <w:tr w:rsidR="00087CA8" w:rsidRPr="00087CA8" w14:paraId="195A85B9" w14:textId="62E516AF" w:rsidTr="00087CA8">
        <w:trPr>
          <w:trHeight w:val="397"/>
          <w:jc w:val="center"/>
        </w:trPr>
        <w:tc>
          <w:tcPr>
            <w:tcW w:w="4106" w:type="dxa"/>
            <w:shd w:val="clear" w:color="auto" w:fill="auto"/>
            <w:noWrap/>
            <w:vAlign w:val="center"/>
            <w:hideMark/>
          </w:tcPr>
          <w:p w14:paraId="7AE970D7" w14:textId="77777777"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Archivo Provisional</w:t>
            </w:r>
          </w:p>
        </w:tc>
        <w:tc>
          <w:tcPr>
            <w:tcW w:w="1674" w:type="dxa"/>
            <w:shd w:val="clear" w:color="auto" w:fill="auto"/>
            <w:noWrap/>
            <w:vAlign w:val="center"/>
            <w:hideMark/>
          </w:tcPr>
          <w:p w14:paraId="689AE545" w14:textId="0A657BA6" w:rsidR="00087CA8" w:rsidRPr="00087CA8" w:rsidRDefault="00BF6FF5" w:rsidP="00087CA8">
            <w:pPr>
              <w:spacing w:after="0" w:line="240" w:lineRule="auto"/>
              <w:jc w:val="center"/>
              <w:rPr>
                <w:rFonts w:ascii="Arial" w:eastAsia="Times New Roman" w:hAnsi="Arial" w:cs="Arial"/>
                <w:color w:val="000000"/>
                <w:szCs w:val="24"/>
                <w:lang w:eastAsia="es-CL"/>
              </w:rPr>
            </w:pPr>
            <w:r w:rsidRPr="00BF6FF5">
              <w:rPr>
                <w:rFonts w:ascii="Arial" w:eastAsia="Times New Roman" w:hAnsi="Arial" w:cs="Arial"/>
                <w:color w:val="000000"/>
                <w:szCs w:val="24"/>
                <w:lang w:eastAsia="es-CL"/>
              </w:rPr>
              <w:t>4706</w:t>
            </w:r>
          </w:p>
        </w:tc>
      </w:tr>
      <w:tr w:rsidR="00087CA8" w:rsidRPr="00087CA8" w14:paraId="2C24260E" w14:textId="7B0B29D3" w:rsidTr="00087CA8">
        <w:trPr>
          <w:trHeight w:val="397"/>
          <w:jc w:val="center"/>
        </w:trPr>
        <w:tc>
          <w:tcPr>
            <w:tcW w:w="4106" w:type="dxa"/>
            <w:shd w:val="clear" w:color="auto" w:fill="auto"/>
            <w:noWrap/>
            <w:vAlign w:val="center"/>
            <w:hideMark/>
          </w:tcPr>
          <w:p w14:paraId="40C8D523" w14:textId="09873D4C"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Agrupación a otro caso</w:t>
            </w:r>
          </w:p>
        </w:tc>
        <w:tc>
          <w:tcPr>
            <w:tcW w:w="1674" w:type="dxa"/>
            <w:shd w:val="clear" w:color="auto" w:fill="auto"/>
            <w:noWrap/>
            <w:vAlign w:val="center"/>
            <w:hideMark/>
          </w:tcPr>
          <w:p w14:paraId="73A56BC4" w14:textId="6AA1B37A" w:rsidR="00087CA8" w:rsidRPr="00087CA8" w:rsidRDefault="00BF6FF5" w:rsidP="00087CA8">
            <w:pPr>
              <w:spacing w:after="0" w:line="240" w:lineRule="auto"/>
              <w:jc w:val="center"/>
              <w:rPr>
                <w:rFonts w:ascii="Arial" w:eastAsia="Times New Roman" w:hAnsi="Arial" w:cs="Arial"/>
                <w:color w:val="000000"/>
                <w:szCs w:val="24"/>
                <w:lang w:eastAsia="es-CL"/>
              </w:rPr>
            </w:pPr>
            <w:r w:rsidRPr="00BF6FF5">
              <w:rPr>
                <w:rFonts w:ascii="Arial" w:eastAsia="Times New Roman" w:hAnsi="Arial" w:cs="Arial"/>
                <w:color w:val="000000"/>
                <w:szCs w:val="24"/>
                <w:lang w:eastAsia="es-CL"/>
              </w:rPr>
              <w:t>2522</w:t>
            </w:r>
          </w:p>
        </w:tc>
      </w:tr>
      <w:tr w:rsidR="00087CA8" w:rsidRPr="00087CA8" w14:paraId="0006B585" w14:textId="09F07988" w:rsidTr="00087CA8">
        <w:trPr>
          <w:trHeight w:val="397"/>
          <w:jc w:val="center"/>
        </w:trPr>
        <w:tc>
          <w:tcPr>
            <w:tcW w:w="4106" w:type="dxa"/>
            <w:shd w:val="clear" w:color="auto" w:fill="auto"/>
            <w:noWrap/>
            <w:vAlign w:val="center"/>
            <w:hideMark/>
          </w:tcPr>
          <w:p w14:paraId="01D4B7A3" w14:textId="659DC74C"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Decisión de no perseverar</w:t>
            </w:r>
          </w:p>
        </w:tc>
        <w:tc>
          <w:tcPr>
            <w:tcW w:w="1674" w:type="dxa"/>
            <w:shd w:val="clear" w:color="auto" w:fill="auto"/>
            <w:noWrap/>
            <w:vAlign w:val="center"/>
            <w:hideMark/>
          </w:tcPr>
          <w:p w14:paraId="5895A5CE" w14:textId="3D396340" w:rsidR="00087CA8" w:rsidRPr="00087CA8" w:rsidRDefault="00BF6FF5" w:rsidP="00087CA8">
            <w:pPr>
              <w:spacing w:after="0" w:line="240" w:lineRule="auto"/>
              <w:jc w:val="center"/>
              <w:rPr>
                <w:rFonts w:ascii="Arial" w:eastAsia="Times New Roman" w:hAnsi="Arial" w:cs="Arial"/>
                <w:color w:val="000000"/>
                <w:szCs w:val="24"/>
                <w:lang w:eastAsia="es-CL"/>
              </w:rPr>
            </w:pPr>
            <w:r w:rsidRPr="00BF6FF5">
              <w:rPr>
                <w:rFonts w:ascii="Arial" w:eastAsia="Times New Roman" w:hAnsi="Arial" w:cs="Arial"/>
                <w:color w:val="000000"/>
                <w:szCs w:val="24"/>
                <w:lang w:eastAsia="es-CL"/>
              </w:rPr>
              <w:t>1509</w:t>
            </w:r>
          </w:p>
        </w:tc>
      </w:tr>
      <w:tr w:rsidR="00087CA8" w:rsidRPr="00087CA8" w14:paraId="47FF3E16" w14:textId="005711DC" w:rsidTr="00087CA8">
        <w:trPr>
          <w:trHeight w:val="397"/>
          <w:jc w:val="center"/>
        </w:trPr>
        <w:tc>
          <w:tcPr>
            <w:tcW w:w="4106" w:type="dxa"/>
            <w:shd w:val="clear" w:color="auto" w:fill="auto"/>
            <w:noWrap/>
            <w:vAlign w:val="center"/>
            <w:hideMark/>
          </w:tcPr>
          <w:p w14:paraId="1C6E6617" w14:textId="3A88E51B"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Facultad de no iniciar la investigación</w:t>
            </w:r>
          </w:p>
        </w:tc>
        <w:tc>
          <w:tcPr>
            <w:tcW w:w="1674" w:type="dxa"/>
            <w:shd w:val="clear" w:color="auto" w:fill="auto"/>
            <w:noWrap/>
            <w:vAlign w:val="center"/>
            <w:hideMark/>
          </w:tcPr>
          <w:p w14:paraId="524F51BA" w14:textId="3916711B" w:rsidR="00087CA8" w:rsidRPr="00087CA8" w:rsidRDefault="00BF6FF5"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66</w:t>
            </w:r>
          </w:p>
        </w:tc>
      </w:tr>
      <w:tr w:rsidR="00087CA8" w:rsidRPr="00087CA8" w14:paraId="3AE903BA" w14:textId="7CE793C2" w:rsidTr="00087CA8">
        <w:trPr>
          <w:trHeight w:val="397"/>
          <w:jc w:val="center"/>
        </w:trPr>
        <w:tc>
          <w:tcPr>
            <w:tcW w:w="4106" w:type="dxa"/>
            <w:shd w:val="clear" w:color="auto" w:fill="auto"/>
            <w:noWrap/>
            <w:vAlign w:val="center"/>
            <w:hideMark/>
          </w:tcPr>
          <w:p w14:paraId="25FDB2F4" w14:textId="4902A0F7"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Sentencia definitiva condenatoria</w:t>
            </w:r>
          </w:p>
        </w:tc>
        <w:tc>
          <w:tcPr>
            <w:tcW w:w="1674" w:type="dxa"/>
            <w:shd w:val="clear" w:color="auto" w:fill="auto"/>
            <w:noWrap/>
            <w:vAlign w:val="center"/>
            <w:hideMark/>
          </w:tcPr>
          <w:p w14:paraId="10C6EFC5" w14:textId="5525251A" w:rsidR="00087CA8" w:rsidRPr="00087CA8" w:rsidRDefault="00BF6FF5"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53</w:t>
            </w:r>
          </w:p>
        </w:tc>
      </w:tr>
      <w:tr w:rsidR="00087CA8" w:rsidRPr="00087CA8" w14:paraId="111D4950" w14:textId="6FBC8B36" w:rsidTr="00087CA8">
        <w:trPr>
          <w:trHeight w:val="397"/>
          <w:jc w:val="center"/>
        </w:trPr>
        <w:tc>
          <w:tcPr>
            <w:tcW w:w="4106" w:type="dxa"/>
            <w:shd w:val="clear" w:color="auto" w:fill="auto"/>
            <w:noWrap/>
            <w:vAlign w:val="center"/>
            <w:hideMark/>
          </w:tcPr>
          <w:p w14:paraId="1840C207" w14:textId="17C1A5CC"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lastRenderedPageBreak/>
              <w:t>Sobreseimiento definitivo (art. 250)</w:t>
            </w:r>
          </w:p>
        </w:tc>
        <w:tc>
          <w:tcPr>
            <w:tcW w:w="1674" w:type="dxa"/>
            <w:shd w:val="clear" w:color="auto" w:fill="auto"/>
            <w:noWrap/>
            <w:vAlign w:val="center"/>
            <w:hideMark/>
          </w:tcPr>
          <w:p w14:paraId="076036A7" w14:textId="03BEAB73" w:rsidR="00087CA8" w:rsidRPr="00087CA8" w:rsidRDefault="00C4564F"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25</w:t>
            </w:r>
          </w:p>
        </w:tc>
      </w:tr>
      <w:tr w:rsidR="00087CA8" w:rsidRPr="00087CA8" w14:paraId="6E15D42C" w14:textId="3577AD01" w:rsidTr="00087CA8">
        <w:trPr>
          <w:trHeight w:val="397"/>
          <w:jc w:val="center"/>
        </w:trPr>
        <w:tc>
          <w:tcPr>
            <w:tcW w:w="4106" w:type="dxa"/>
            <w:shd w:val="clear" w:color="auto" w:fill="auto"/>
            <w:noWrap/>
            <w:vAlign w:val="center"/>
            <w:hideMark/>
          </w:tcPr>
          <w:p w14:paraId="2B922EB9" w14:textId="70F393D6"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Sentencia</w:t>
            </w:r>
            <w:r w:rsidRPr="00087CA8">
              <w:rPr>
                <w:rFonts w:cs="Calibri"/>
                <w:color w:val="000000"/>
              </w:rPr>
              <w:t xml:space="preserve"> </w:t>
            </w:r>
            <w:r w:rsidRPr="00087CA8">
              <w:rPr>
                <w:rFonts w:ascii="Arial" w:eastAsia="Times New Roman" w:hAnsi="Arial" w:cs="Arial"/>
                <w:color w:val="000000"/>
                <w:szCs w:val="24"/>
                <w:lang w:eastAsia="es-CL"/>
              </w:rPr>
              <w:t>definitiva absolutoria</w:t>
            </w:r>
          </w:p>
        </w:tc>
        <w:tc>
          <w:tcPr>
            <w:tcW w:w="1674" w:type="dxa"/>
            <w:shd w:val="clear" w:color="auto" w:fill="auto"/>
            <w:noWrap/>
            <w:vAlign w:val="center"/>
            <w:hideMark/>
          </w:tcPr>
          <w:p w14:paraId="22172C93" w14:textId="66122D67" w:rsidR="00087CA8" w:rsidRPr="00087CA8" w:rsidRDefault="00BF6FF5"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30</w:t>
            </w:r>
          </w:p>
        </w:tc>
      </w:tr>
      <w:tr w:rsidR="00087CA8" w:rsidRPr="00087CA8" w14:paraId="447DF526" w14:textId="468305CB" w:rsidTr="00087CA8">
        <w:trPr>
          <w:trHeight w:val="397"/>
          <w:jc w:val="center"/>
        </w:trPr>
        <w:tc>
          <w:tcPr>
            <w:tcW w:w="4106" w:type="dxa"/>
            <w:shd w:val="clear" w:color="auto" w:fill="auto"/>
            <w:noWrap/>
            <w:vAlign w:val="center"/>
            <w:hideMark/>
          </w:tcPr>
          <w:p w14:paraId="567994D8" w14:textId="77777777"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Otras causales de término</w:t>
            </w:r>
          </w:p>
        </w:tc>
        <w:tc>
          <w:tcPr>
            <w:tcW w:w="1674" w:type="dxa"/>
            <w:shd w:val="clear" w:color="auto" w:fill="auto"/>
            <w:noWrap/>
            <w:vAlign w:val="center"/>
            <w:hideMark/>
          </w:tcPr>
          <w:p w14:paraId="114FFBDD" w14:textId="5B4D5B98" w:rsidR="00087CA8" w:rsidRPr="00087CA8" w:rsidRDefault="00BF6FF5"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22</w:t>
            </w:r>
          </w:p>
        </w:tc>
      </w:tr>
      <w:tr w:rsidR="00087CA8" w:rsidRPr="00087CA8" w14:paraId="62C007FA" w14:textId="39E29C11" w:rsidTr="00087CA8">
        <w:trPr>
          <w:trHeight w:val="397"/>
          <w:jc w:val="center"/>
        </w:trPr>
        <w:tc>
          <w:tcPr>
            <w:tcW w:w="4106" w:type="dxa"/>
            <w:shd w:val="clear" w:color="auto" w:fill="auto"/>
            <w:noWrap/>
            <w:vAlign w:val="center"/>
            <w:hideMark/>
          </w:tcPr>
          <w:p w14:paraId="2F327E8F" w14:textId="0852CCDE"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Anulación administrativa</w:t>
            </w:r>
          </w:p>
        </w:tc>
        <w:tc>
          <w:tcPr>
            <w:tcW w:w="1674" w:type="dxa"/>
            <w:shd w:val="clear" w:color="auto" w:fill="auto"/>
            <w:noWrap/>
            <w:vAlign w:val="center"/>
            <w:hideMark/>
          </w:tcPr>
          <w:p w14:paraId="3F2DFFED" w14:textId="0D29B3F1" w:rsidR="00087CA8" w:rsidRPr="00087CA8" w:rsidRDefault="00087CA8" w:rsidP="00087CA8">
            <w:pPr>
              <w:spacing w:after="0" w:line="240" w:lineRule="auto"/>
              <w:jc w:val="center"/>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18</w:t>
            </w:r>
          </w:p>
        </w:tc>
      </w:tr>
      <w:tr w:rsidR="00087CA8" w:rsidRPr="00087CA8" w14:paraId="617114A3" w14:textId="77777777" w:rsidTr="00087CA8">
        <w:trPr>
          <w:trHeight w:val="397"/>
          <w:jc w:val="center"/>
        </w:trPr>
        <w:tc>
          <w:tcPr>
            <w:tcW w:w="4106" w:type="dxa"/>
            <w:shd w:val="clear" w:color="auto" w:fill="auto"/>
            <w:noWrap/>
            <w:vAlign w:val="center"/>
          </w:tcPr>
          <w:p w14:paraId="1A1B4F14" w14:textId="07EF2DF2"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Sobreseimiento definitivo (art. 240)</w:t>
            </w:r>
          </w:p>
        </w:tc>
        <w:tc>
          <w:tcPr>
            <w:tcW w:w="1674" w:type="dxa"/>
            <w:shd w:val="clear" w:color="auto" w:fill="auto"/>
            <w:noWrap/>
            <w:vAlign w:val="center"/>
          </w:tcPr>
          <w:p w14:paraId="24B57C5F" w14:textId="553604FE" w:rsidR="00087CA8" w:rsidRPr="00087CA8" w:rsidRDefault="00BF6FF5" w:rsidP="00087CA8">
            <w:pPr>
              <w:spacing w:after="0" w:line="240" w:lineRule="auto"/>
              <w:jc w:val="center"/>
              <w:rPr>
                <w:rFonts w:ascii="Arial" w:eastAsia="Times New Roman" w:hAnsi="Arial" w:cs="Arial"/>
                <w:color w:val="000000"/>
                <w:szCs w:val="24"/>
                <w:lang w:eastAsia="es-CL"/>
              </w:rPr>
            </w:pPr>
            <w:r>
              <w:rPr>
                <w:rFonts w:ascii="Arial" w:eastAsia="Times New Roman" w:hAnsi="Arial" w:cs="Arial"/>
                <w:color w:val="000000"/>
                <w:szCs w:val="24"/>
                <w:lang w:eastAsia="es-CL"/>
              </w:rPr>
              <w:t>9</w:t>
            </w:r>
          </w:p>
        </w:tc>
      </w:tr>
      <w:tr w:rsidR="00087CA8" w:rsidRPr="00087CA8" w14:paraId="45186718" w14:textId="5E7D02A1" w:rsidTr="00087CA8">
        <w:trPr>
          <w:trHeight w:val="397"/>
          <w:jc w:val="center"/>
        </w:trPr>
        <w:tc>
          <w:tcPr>
            <w:tcW w:w="4106" w:type="dxa"/>
            <w:shd w:val="clear" w:color="auto" w:fill="auto"/>
            <w:noWrap/>
            <w:vAlign w:val="center"/>
            <w:hideMark/>
          </w:tcPr>
          <w:p w14:paraId="04879732" w14:textId="77777777"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Principio de Oportunidad</w:t>
            </w:r>
          </w:p>
        </w:tc>
        <w:tc>
          <w:tcPr>
            <w:tcW w:w="1674" w:type="dxa"/>
            <w:shd w:val="clear" w:color="auto" w:fill="auto"/>
            <w:noWrap/>
            <w:vAlign w:val="center"/>
            <w:hideMark/>
          </w:tcPr>
          <w:p w14:paraId="60C01CA9" w14:textId="26B3E8A7" w:rsidR="00087CA8" w:rsidRPr="00087CA8" w:rsidRDefault="00087CA8" w:rsidP="00087CA8">
            <w:pPr>
              <w:spacing w:after="0" w:line="240" w:lineRule="auto"/>
              <w:jc w:val="center"/>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3</w:t>
            </w:r>
          </w:p>
        </w:tc>
      </w:tr>
      <w:tr w:rsidR="00087CA8" w:rsidRPr="00087CA8" w14:paraId="73F7CF48" w14:textId="70DF82AC" w:rsidTr="00087CA8">
        <w:trPr>
          <w:trHeight w:val="397"/>
          <w:jc w:val="center"/>
        </w:trPr>
        <w:tc>
          <w:tcPr>
            <w:tcW w:w="4106" w:type="dxa"/>
            <w:shd w:val="clear" w:color="auto" w:fill="auto"/>
            <w:noWrap/>
            <w:vAlign w:val="center"/>
            <w:hideMark/>
          </w:tcPr>
          <w:p w14:paraId="5437EC8B" w14:textId="60A42A2C" w:rsidR="00087CA8" w:rsidRPr="00087CA8" w:rsidRDefault="00087CA8" w:rsidP="00087CA8">
            <w:pPr>
              <w:spacing w:after="0" w:line="240" w:lineRule="auto"/>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Incompetencia</w:t>
            </w:r>
          </w:p>
        </w:tc>
        <w:tc>
          <w:tcPr>
            <w:tcW w:w="1674" w:type="dxa"/>
            <w:shd w:val="clear" w:color="auto" w:fill="auto"/>
            <w:noWrap/>
            <w:vAlign w:val="center"/>
            <w:hideMark/>
          </w:tcPr>
          <w:p w14:paraId="007A6EC3" w14:textId="31F321DD" w:rsidR="00087CA8" w:rsidRPr="00087CA8" w:rsidRDefault="00087CA8" w:rsidP="00087CA8">
            <w:pPr>
              <w:spacing w:after="0" w:line="240" w:lineRule="auto"/>
              <w:jc w:val="center"/>
              <w:rPr>
                <w:rFonts w:ascii="Arial" w:eastAsia="Times New Roman" w:hAnsi="Arial" w:cs="Arial"/>
                <w:color w:val="000000"/>
                <w:szCs w:val="24"/>
                <w:lang w:eastAsia="es-CL"/>
              </w:rPr>
            </w:pPr>
            <w:r w:rsidRPr="00087CA8">
              <w:rPr>
                <w:rFonts w:ascii="Arial" w:eastAsia="Times New Roman" w:hAnsi="Arial" w:cs="Arial"/>
                <w:color w:val="000000"/>
                <w:szCs w:val="24"/>
                <w:lang w:eastAsia="es-CL"/>
              </w:rPr>
              <w:t>2</w:t>
            </w:r>
          </w:p>
        </w:tc>
      </w:tr>
      <w:tr w:rsidR="00087CA8" w:rsidRPr="00087CA8" w14:paraId="539A07C3" w14:textId="5743D246" w:rsidTr="00087CA8">
        <w:trPr>
          <w:trHeight w:val="397"/>
          <w:jc w:val="center"/>
        </w:trPr>
        <w:tc>
          <w:tcPr>
            <w:tcW w:w="4106" w:type="dxa"/>
            <w:shd w:val="clear" w:color="auto" w:fill="DBE5F1" w:themeFill="accent1" w:themeFillTint="33"/>
            <w:noWrap/>
            <w:vAlign w:val="center"/>
            <w:hideMark/>
          </w:tcPr>
          <w:p w14:paraId="04D7EFF4" w14:textId="77777777" w:rsidR="00087CA8" w:rsidRPr="00087CA8" w:rsidRDefault="00087CA8" w:rsidP="00087CA8">
            <w:pPr>
              <w:spacing w:after="0" w:line="240" w:lineRule="auto"/>
              <w:rPr>
                <w:rFonts w:ascii="Arial" w:eastAsia="Times New Roman" w:hAnsi="Arial" w:cs="Arial"/>
                <w:b/>
                <w:color w:val="000000"/>
                <w:szCs w:val="24"/>
                <w:lang w:eastAsia="es-CL"/>
              </w:rPr>
            </w:pPr>
            <w:r w:rsidRPr="00087CA8">
              <w:rPr>
                <w:rFonts w:ascii="Arial" w:eastAsia="Times New Roman" w:hAnsi="Arial" w:cs="Arial"/>
                <w:b/>
                <w:color w:val="000000"/>
                <w:szCs w:val="24"/>
                <w:lang w:eastAsia="es-CL"/>
              </w:rPr>
              <w:t>Total general</w:t>
            </w:r>
          </w:p>
        </w:tc>
        <w:tc>
          <w:tcPr>
            <w:tcW w:w="1674" w:type="dxa"/>
            <w:shd w:val="clear" w:color="DCE6F1" w:fill="DCE6F1"/>
            <w:noWrap/>
            <w:vAlign w:val="center"/>
            <w:hideMark/>
          </w:tcPr>
          <w:p w14:paraId="6B1D06C8" w14:textId="0242E689" w:rsidR="00087CA8" w:rsidRPr="00087CA8" w:rsidRDefault="00A15A89" w:rsidP="00BF6FF5">
            <w:pPr>
              <w:spacing w:after="0" w:line="240" w:lineRule="auto"/>
              <w:jc w:val="center"/>
              <w:rPr>
                <w:rFonts w:ascii="Arial" w:eastAsia="Times New Roman" w:hAnsi="Arial" w:cs="Arial"/>
                <w:b/>
                <w:color w:val="000000"/>
                <w:szCs w:val="24"/>
                <w:lang w:eastAsia="es-CL"/>
              </w:rPr>
            </w:pPr>
            <w:r>
              <w:rPr>
                <w:rFonts w:ascii="Arial" w:hAnsi="Arial" w:cs="Arial"/>
                <w:b/>
                <w:bCs/>
                <w:color w:val="000000"/>
              </w:rPr>
              <w:t>8</w:t>
            </w:r>
            <w:r w:rsidR="00BF6FF5">
              <w:rPr>
                <w:rFonts w:ascii="Arial" w:hAnsi="Arial" w:cs="Arial"/>
                <w:b/>
                <w:bCs/>
                <w:color w:val="000000"/>
              </w:rPr>
              <w:t>934</w:t>
            </w:r>
            <w:r w:rsidR="00D370FE">
              <w:rPr>
                <w:rStyle w:val="Refdenotaalpie"/>
                <w:rFonts w:ascii="Arial" w:hAnsi="Arial" w:cs="Arial"/>
                <w:b/>
                <w:bCs/>
                <w:color w:val="000000"/>
              </w:rPr>
              <w:footnoteReference w:id="4"/>
            </w:r>
          </w:p>
        </w:tc>
      </w:tr>
    </w:tbl>
    <w:p w14:paraId="750A609D" w14:textId="77777777" w:rsidR="00CF7325" w:rsidRPr="002E4154" w:rsidRDefault="00CF7325" w:rsidP="00276E9D">
      <w:pPr>
        <w:autoSpaceDE w:val="0"/>
        <w:autoSpaceDN w:val="0"/>
        <w:adjustRightInd w:val="0"/>
        <w:spacing w:after="0" w:line="240" w:lineRule="auto"/>
        <w:jc w:val="both"/>
        <w:rPr>
          <w:rFonts w:ascii="Arial" w:hAnsi="Arial" w:cs="Arial"/>
          <w:b/>
          <w:sz w:val="24"/>
          <w:szCs w:val="24"/>
          <w:lang w:eastAsia="es-CL"/>
        </w:rPr>
      </w:pPr>
    </w:p>
    <w:p w14:paraId="23CAEEE5" w14:textId="77777777" w:rsidR="00276E9D" w:rsidRPr="00B6455F" w:rsidRDefault="00276E9D" w:rsidP="00276E9D">
      <w:pPr>
        <w:autoSpaceDE w:val="0"/>
        <w:autoSpaceDN w:val="0"/>
        <w:adjustRightInd w:val="0"/>
        <w:spacing w:after="0" w:line="240" w:lineRule="auto"/>
        <w:jc w:val="both"/>
        <w:rPr>
          <w:rFonts w:ascii="Arial" w:hAnsi="Arial" w:cs="Arial"/>
          <w:bCs/>
          <w:sz w:val="24"/>
          <w:szCs w:val="24"/>
          <w:lang w:val="es-ES" w:eastAsia="es-CL"/>
        </w:rPr>
      </w:pPr>
      <w:r w:rsidRPr="00B6455F">
        <w:rPr>
          <w:rFonts w:ascii="Arial" w:hAnsi="Arial" w:cs="Arial"/>
          <w:bCs/>
          <w:sz w:val="24"/>
          <w:szCs w:val="24"/>
          <w:lang w:val="es-ES" w:eastAsia="es-CL"/>
        </w:rPr>
        <w:t xml:space="preserve">Respecto al </w:t>
      </w:r>
      <w:r w:rsidRPr="003E07C9">
        <w:rPr>
          <w:rFonts w:ascii="Arial" w:hAnsi="Arial" w:cs="Arial"/>
          <w:bCs/>
          <w:sz w:val="24"/>
          <w:szCs w:val="24"/>
          <w:u w:val="single"/>
          <w:lang w:val="es-ES" w:eastAsia="es-CL"/>
        </w:rPr>
        <w:t>número de formalizaciones</w:t>
      </w:r>
      <w:r w:rsidRPr="00B6455F">
        <w:rPr>
          <w:rFonts w:ascii="Arial" w:hAnsi="Arial" w:cs="Arial"/>
          <w:bCs/>
          <w:sz w:val="24"/>
          <w:szCs w:val="24"/>
          <w:lang w:val="es-ES" w:eastAsia="es-CL"/>
        </w:rPr>
        <w:t xml:space="preserve"> por delitos de violencia institucional dentro del contexto de la contingencia social, se informa el siguiente estado de situación de las causas</w:t>
      </w:r>
      <w:r w:rsidRPr="00B6455F">
        <w:rPr>
          <w:rStyle w:val="Refdenotaalpie"/>
          <w:rFonts w:ascii="Arial" w:hAnsi="Arial" w:cs="Arial"/>
          <w:bCs/>
          <w:sz w:val="24"/>
          <w:szCs w:val="24"/>
          <w:lang w:val="es-ES" w:eastAsia="es-CL"/>
        </w:rPr>
        <w:footnoteReference w:id="5"/>
      </w:r>
      <w:r w:rsidRPr="00B6455F">
        <w:rPr>
          <w:rFonts w:ascii="Arial" w:hAnsi="Arial" w:cs="Arial"/>
          <w:bCs/>
          <w:sz w:val="24"/>
          <w:szCs w:val="24"/>
          <w:lang w:val="es-ES" w:eastAsia="es-CL"/>
        </w:rPr>
        <w:t>:</w:t>
      </w:r>
    </w:p>
    <w:p w14:paraId="3B3B8A7A" w14:textId="77777777" w:rsidR="00276E9D" w:rsidRPr="00A975DA" w:rsidRDefault="00276E9D" w:rsidP="00276E9D">
      <w:pPr>
        <w:autoSpaceDE w:val="0"/>
        <w:autoSpaceDN w:val="0"/>
        <w:adjustRightInd w:val="0"/>
        <w:spacing w:after="0" w:line="240" w:lineRule="auto"/>
        <w:jc w:val="both"/>
        <w:rPr>
          <w:rFonts w:ascii="Arial" w:hAnsi="Arial" w:cs="Arial"/>
          <w:bCs/>
          <w:sz w:val="24"/>
          <w:szCs w:val="24"/>
          <w:highlight w:val="yellow"/>
          <w:lang w:val="es-ES" w:eastAsia="es-CL"/>
        </w:rPr>
      </w:pPr>
    </w:p>
    <w:tbl>
      <w:tblPr>
        <w:tblStyle w:val="Tablaconcuadrcula"/>
        <w:tblW w:w="0" w:type="auto"/>
        <w:tblInd w:w="108" w:type="dxa"/>
        <w:tblLook w:val="04A0" w:firstRow="1" w:lastRow="0" w:firstColumn="1" w:lastColumn="0" w:noHBand="0" w:noVBand="1"/>
      </w:tblPr>
      <w:tblGrid>
        <w:gridCol w:w="5529"/>
        <w:gridCol w:w="3191"/>
      </w:tblGrid>
      <w:tr w:rsidR="00276E9D" w:rsidRPr="00B53CD0" w14:paraId="4D0353B9" w14:textId="77777777" w:rsidTr="00276E9D">
        <w:tc>
          <w:tcPr>
            <w:tcW w:w="5529" w:type="dxa"/>
          </w:tcPr>
          <w:p w14:paraId="763C4881" w14:textId="77777777" w:rsidR="00276E9D" w:rsidRPr="00B53CD0" w:rsidRDefault="00276E9D" w:rsidP="000526E5">
            <w:pPr>
              <w:autoSpaceDE w:val="0"/>
              <w:autoSpaceDN w:val="0"/>
              <w:adjustRightInd w:val="0"/>
              <w:jc w:val="both"/>
              <w:rPr>
                <w:rFonts w:ascii="Arial" w:hAnsi="Arial" w:cs="Arial"/>
                <w:bCs/>
                <w:szCs w:val="24"/>
                <w:lang w:val="es-ES" w:eastAsia="es-CL"/>
              </w:rPr>
            </w:pPr>
            <w:r w:rsidRPr="00B53CD0">
              <w:rPr>
                <w:rFonts w:ascii="Arial" w:hAnsi="Arial" w:cs="Arial"/>
                <w:bCs/>
                <w:szCs w:val="24"/>
                <w:lang w:val="es-ES" w:eastAsia="es-CL"/>
              </w:rPr>
              <w:t>Número de causas formalizadas (RUC)</w:t>
            </w:r>
          </w:p>
        </w:tc>
        <w:tc>
          <w:tcPr>
            <w:tcW w:w="3191" w:type="dxa"/>
            <w:vAlign w:val="center"/>
          </w:tcPr>
          <w:p w14:paraId="01B66312" w14:textId="1D1F7F63" w:rsidR="00276E9D" w:rsidRPr="00B53CD0" w:rsidRDefault="00160735" w:rsidP="00D370FE">
            <w:pPr>
              <w:autoSpaceDE w:val="0"/>
              <w:autoSpaceDN w:val="0"/>
              <w:adjustRightInd w:val="0"/>
              <w:jc w:val="center"/>
              <w:rPr>
                <w:rFonts w:ascii="Arial" w:hAnsi="Arial" w:cs="Arial"/>
                <w:bCs/>
                <w:szCs w:val="24"/>
                <w:lang w:val="es-ES" w:eastAsia="es-CL"/>
              </w:rPr>
            </w:pPr>
            <w:r>
              <w:rPr>
                <w:rFonts w:ascii="Arial" w:hAnsi="Arial" w:cs="Arial"/>
                <w:bCs/>
                <w:szCs w:val="24"/>
                <w:lang w:val="es-ES" w:eastAsia="es-CL"/>
              </w:rPr>
              <w:t>1</w:t>
            </w:r>
            <w:r w:rsidR="00BF6FF5">
              <w:rPr>
                <w:rFonts w:ascii="Arial" w:hAnsi="Arial" w:cs="Arial"/>
                <w:bCs/>
                <w:szCs w:val="24"/>
                <w:lang w:val="es-ES" w:eastAsia="es-CL"/>
              </w:rPr>
              <w:t>71</w:t>
            </w:r>
          </w:p>
        </w:tc>
      </w:tr>
      <w:tr w:rsidR="00276E9D" w:rsidRPr="00B53CD0" w14:paraId="3CB0CBD5" w14:textId="77777777" w:rsidTr="00276E9D">
        <w:tc>
          <w:tcPr>
            <w:tcW w:w="5529" w:type="dxa"/>
          </w:tcPr>
          <w:p w14:paraId="13AFC42B" w14:textId="77777777" w:rsidR="00276E9D" w:rsidRPr="00B53CD0" w:rsidRDefault="00276E9D" w:rsidP="000526E5">
            <w:pPr>
              <w:autoSpaceDE w:val="0"/>
              <w:autoSpaceDN w:val="0"/>
              <w:adjustRightInd w:val="0"/>
              <w:jc w:val="both"/>
              <w:rPr>
                <w:rFonts w:ascii="Arial" w:hAnsi="Arial" w:cs="Arial"/>
                <w:bCs/>
                <w:szCs w:val="24"/>
                <w:lang w:val="es-ES" w:eastAsia="es-CL"/>
              </w:rPr>
            </w:pPr>
            <w:r w:rsidRPr="00B53CD0">
              <w:rPr>
                <w:rFonts w:ascii="Arial" w:hAnsi="Arial" w:cs="Arial"/>
                <w:bCs/>
                <w:szCs w:val="24"/>
                <w:lang w:val="es-ES" w:eastAsia="es-CL"/>
              </w:rPr>
              <w:t>Número de imputados formalizados</w:t>
            </w:r>
          </w:p>
        </w:tc>
        <w:tc>
          <w:tcPr>
            <w:tcW w:w="3191" w:type="dxa"/>
            <w:vAlign w:val="center"/>
          </w:tcPr>
          <w:p w14:paraId="59055593" w14:textId="188F932E" w:rsidR="00276E9D" w:rsidRPr="00B53CD0" w:rsidRDefault="00BF6FF5" w:rsidP="00BF6FF5">
            <w:pPr>
              <w:autoSpaceDE w:val="0"/>
              <w:autoSpaceDN w:val="0"/>
              <w:adjustRightInd w:val="0"/>
              <w:jc w:val="center"/>
              <w:rPr>
                <w:rFonts w:ascii="Arial" w:hAnsi="Arial" w:cs="Arial"/>
                <w:bCs/>
                <w:szCs w:val="24"/>
                <w:lang w:val="es-ES" w:eastAsia="es-CL"/>
              </w:rPr>
            </w:pPr>
            <w:r>
              <w:rPr>
                <w:rFonts w:ascii="Arial" w:hAnsi="Arial" w:cs="Arial"/>
                <w:bCs/>
                <w:szCs w:val="24"/>
                <w:lang w:val="es-ES" w:eastAsia="es-CL"/>
              </w:rPr>
              <w:t>264</w:t>
            </w:r>
          </w:p>
        </w:tc>
      </w:tr>
    </w:tbl>
    <w:p w14:paraId="658885A4" w14:textId="77777777" w:rsidR="00276E9D" w:rsidRPr="00B53CD0" w:rsidRDefault="00276E9D" w:rsidP="00276E9D">
      <w:pPr>
        <w:autoSpaceDE w:val="0"/>
        <w:autoSpaceDN w:val="0"/>
        <w:adjustRightInd w:val="0"/>
        <w:spacing w:after="0" w:line="240" w:lineRule="auto"/>
        <w:jc w:val="both"/>
        <w:rPr>
          <w:rFonts w:ascii="Arial" w:hAnsi="Arial" w:cs="Arial"/>
          <w:bCs/>
          <w:szCs w:val="24"/>
          <w:highlight w:val="yellow"/>
          <w:lang w:val="es-ES" w:eastAsia="es-CL"/>
        </w:rPr>
      </w:pPr>
    </w:p>
    <w:p w14:paraId="417BC78F" w14:textId="77777777" w:rsidR="00276E9D" w:rsidRPr="00725A73" w:rsidRDefault="00276E9D" w:rsidP="00276E9D">
      <w:pPr>
        <w:autoSpaceDE w:val="0"/>
        <w:autoSpaceDN w:val="0"/>
        <w:adjustRightInd w:val="0"/>
        <w:spacing w:after="0" w:line="240" w:lineRule="auto"/>
        <w:jc w:val="both"/>
        <w:rPr>
          <w:rFonts w:ascii="Arial" w:hAnsi="Arial" w:cs="Arial"/>
          <w:bCs/>
          <w:sz w:val="24"/>
          <w:szCs w:val="24"/>
          <w:lang w:val="es-ES" w:eastAsia="es-CL"/>
        </w:rPr>
      </w:pPr>
    </w:p>
    <w:p w14:paraId="59160ABF" w14:textId="49508FCE" w:rsidR="00F31A91" w:rsidRPr="00725A73" w:rsidRDefault="00F31A91" w:rsidP="00F31A91">
      <w:pPr>
        <w:pStyle w:val="Textonotapie"/>
        <w:jc w:val="both"/>
        <w:rPr>
          <w:rFonts w:ascii="Arial" w:hAnsi="Arial" w:cs="Arial"/>
          <w:sz w:val="24"/>
          <w:szCs w:val="24"/>
        </w:rPr>
      </w:pPr>
      <w:r w:rsidRPr="00725A73">
        <w:rPr>
          <w:rFonts w:ascii="Arial" w:hAnsi="Arial" w:cs="Arial"/>
          <w:sz w:val="24"/>
          <w:szCs w:val="24"/>
        </w:rPr>
        <w:t xml:space="preserve">Finalmente, </w:t>
      </w:r>
      <w:r w:rsidRPr="003E07C9">
        <w:rPr>
          <w:rFonts w:ascii="Arial" w:hAnsi="Arial" w:cs="Arial"/>
          <w:sz w:val="24"/>
          <w:szCs w:val="24"/>
          <w:u w:val="single"/>
        </w:rPr>
        <w:t>no es posible entregar información sobre las medidas cautelares decretadas</w:t>
      </w:r>
      <w:r w:rsidRPr="00725A73">
        <w:rPr>
          <w:rFonts w:ascii="Arial" w:hAnsi="Arial" w:cs="Arial"/>
          <w:sz w:val="24"/>
          <w:szCs w:val="24"/>
        </w:rPr>
        <w:t>, dado que es una categoría de naturaleza eminentemente temporal, cuya duración está supeditada a la mantención de las condiciones que justificaron su dictación, tratándose por tanto de información constantemente variable. Esta naturaleza dinámica, hace que no sea posible extraer las medidas dictadas al momento de la formalización en cada uno de los casos.</w:t>
      </w:r>
    </w:p>
    <w:p w14:paraId="1E81EC6F" w14:textId="77777777" w:rsidR="00F31A91" w:rsidRPr="00725A73" w:rsidRDefault="00F31A91" w:rsidP="00F31A91">
      <w:pPr>
        <w:pStyle w:val="Textonotapie"/>
        <w:jc w:val="both"/>
        <w:rPr>
          <w:rFonts w:ascii="Arial" w:hAnsi="Arial" w:cs="Arial"/>
          <w:sz w:val="24"/>
          <w:szCs w:val="24"/>
        </w:rPr>
      </w:pPr>
    </w:p>
    <w:p w14:paraId="32AE127B" w14:textId="73FB2B8B" w:rsidR="00F31A91" w:rsidRDefault="00F31A91" w:rsidP="00F31A91">
      <w:pPr>
        <w:pStyle w:val="Textonotapie"/>
        <w:jc w:val="both"/>
        <w:rPr>
          <w:rFonts w:ascii="Arial" w:hAnsi="Arial" w:cs="Arial"/>
          <w:sz w:val="24"/>
          <w:szCs w:val="24"/>
        </w:rPr>
      </w:pPr>
      <w:r w:rsidRPr="00725A73">
        <w:rPr>
          <w:rFonts w:ascii="Arial" w:hAnsi="Arial" w:cs="Arial"/>
          <w:sz w:val="24"/>
          <w:szCs w:val="24"/>
        </w:rPr>
        <w:t xml:space="preserve">Adicionalmente, debe considerarse que, tratándose de una materia compleja de representar, por regla general, esta categoría de información generalmente </w:t>
      </w:r>
      <w:r w:rsidR="003E07C9">
        <w:rPr>
          <w:rFonts w:ascii="Arial" w:hAnsi="Arial" w:cs="Arial"/>
          <w:sz w:val="24"/>
          <w:szCs w:val="24"/>
        </w:rPr>
        <w:t xml:space="preserve">es </w:t>
      </w:r>
      <w:r w:rsidRPr="00725A73">
        <w:rPr>
          <w:rFonts w:ascii="Arial" w:hAnsi="Arial" w:cs="Arial"/>
          <w:sz w:val="24"/>
          <w:szCs w:val="24"/>
        </w:rPr>
        <w:t>remitida al PJUD para su respuesta.</w:t>
      </w:r>
      <w:r w:rsidRPr="00F31A91">
        <w:rPr>
          <w:rFonts w:ascii="Arial" w:hAnsi="Arial" w:cs="Arial"/>
          <w:sz w:val="24"/>
          <w:szCs w:val="24"/>
        </w:rPr>
        <w:t xml:space="preserve"> </w:t>
      </w:r>
    </w:p>
    <w:p w14:paraId="03ECAF07" w14:textId="77777777" w:rsidR="00F31A91" w:rsidRDefault="00F31A91">
      <w:pPr>
        <w:rPr>
          <w:rFonts w:ascii="Arial" w:hAnsi="Arial" w:cs="Arial"/>
          <w:sz w:val="24"/>
          <w:szCs w:val="24"/>
        </w:rPr>
      </w:pPr>
      <w:r>
        <w:rPr>
          <w:rFonts w:ascii="Arial" w:hAnsi="Arial" w:cs="Arial"/>
          <w:sz w:val="24"/>
          <w:szCs w:val="24"/>
        </w:rPr>
        <w:br w:type="page"/>
      </w:r>
    </w:p>
    <w:p w14:paraId="22C89486" w14:textId="60B988B1" w:rsidR="00E7193B" w:rsidRDefault="00E7193B" w:rsidP="00276E9D">
      <w:pPr>
        <w:pStyle w:val="Prrafodelista"/>
        <w:autoSpaceDE w:val="0"/>
        <w:autoSpaceDN w:val="0"/>
        <w:adjustRightInd w:val="0"/>
        <w:spacing w:after="0" w:line="240" w:lineRule="auto"/>
        <w:ind w:left="0"/>
        <w:jc w:val="both"/>
        <w:rPr>
          <w:rFonts w:ascii="Arial" w:hAnsi="Arial" w:cs="Arial"/>
          <w:sz w:val="24"/>
          <w:szCs w:val="24"/>
          <w:lang w:eastAsia="es-CL"/>
        </w:rPr>
      </w:pPr>
    </w:p>
    <w:p w14:paraId="35245292" w14:textId="77777777" w:rsidR="005C2B12" w:rsidRPr="00F74FC5" w:rsidRDefault="005C2B12" w:rsidP="00204E46">
      <w:pPr>
        <w:autoSpaceDE w:val="0"/>
        <w:autoSpaceDN w:val="0"/>
        <w:adjustRightInd w:val="0"/>
        <w:spacing w:after="0" w:line="240" w:lineRule="auto"/>
        <w:jc w:val="both"/>
        <w:rPr>
          <w:rFonts w:ascii="Arial" w:hAnsi="Arial" w:cs="Arial"/>
          <w:sz w:val="24"/>
          <w:szCs w:val="24"/>
          <w:lang w:eastAsia="es-CL"/>
        </w:rPr>
      </w:pPr>
    </w:p>
    <w:p w14:paraId="51518E57" w14:textId="547553D1" w:rsidR="00702CB2" w:rsidRPr="00057DCF" w:rsidRDefault="00BA04D1" w:rsidP="00D93994">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Glosa 09</w:t>
      </w:r>
    </w:p>
    <w:p w14:paraId="46B8C30B" w14:textId="77777777" w:rsidR="00702CB2" w:rsidRPr="00057DCF" w:rsidRDefault="00702CB2" w:rsidP="00D93994">
      <w:pPr>
        <w:autoSpaceDE w:val="0"/>
        <w:autoSpaceDN w:val="0"/>
        <w:adjustRightInd w:val="0"/>
        <w:spacing w:after="0" w:line="240" w:lineRule="auto"/>
        <w:jc w:val="center"/>
        <w:rPr>
          <w:rFonts w:ascii="Arial" w:hAnsi="Arial" w:cs="Arial"/>
          <w:b/>
          <w:sz w:val="24"/>
          <w:szCs w:val="24"/>
          <w:lang w:eastAsia="es-CL"/>
        </w:rPr>
      </w:pPr>
    </w:p>
    <w:p w14:paraId="0C9ADFE7" w14:textId="7E254A32" w:rsidR="00702CB2" w:rsidRPr="00057DCF" w:rsidRDefault="00791C20" w:rsidP="00702CB2">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 xml:space="preserve"> Parte II</w:t>
      </w:r>
    </w:p>
    <w:p w14:paraId="495FB93F" w14:textId="1F64F735" w:rsidR="00537145" w:rsidRPr="00057DCF" w:rsidRDefault="00C84AA0" w:rsidP="005C2B12">
      <w:pPr>
        <w:autoSpaceDE w:val="0"/>
        <w:autoSpaceDN w:val="0"/>
        <w:adjustRightInd w:val="0"/>
        <w:spacing w:after="0" w:line="240" w:lineRule="auto"/>
        <w:jc w:val="center"/>
        <w:rPr>
          <w:rFonts w:ascii="Arial" w:hAnsi="Arial" w:cs="Arial"/>
          <w:b/>
          <w:sz w:val="24"/>
          <w:szCs w:val="24"/>
          <w:lang w:eastAsia="es-CL"/>
        </w:rPr>
      </w:pPr>
      <w:r w:rsidRPr="00057DCF">
        <w:rPr>
          <w:rFonts w:ascii="Arial" w:hAnsi="Arial" w:cs="Arial"/>
          <w:b/>
          <w:sz w:val="24"/>
          <w:szCs w:val="24"/>
          <w:lang w:eastAsia="es-CL"/>
        </w:rPr>
        <w:t>Causas por delitos de violencia institucional en que INDH es interviniente</w:t>
      </w:r>
      <w:r w:rsidR="002370D4" w:rsidRPr="00057DCF">
        <w:rPr>
          <w:rFonts w:ascii="Arial" w:hAnsi="Arial" w:cs="Arial"/>
          <w:b/>
          <w:sz w:val="24"/>
          <w:szCs w:val="24"/>
          <w:vertAlign w:val="superscript"/>
        </w:rPr>
        <w:footnoteReference w:id="6"/>
      </w:r>
      <w:r w:rsidRPr="00057DCF">
        <w:rPr>
          <w:rFonts w:ascii="Arial" w:hAnsi="Arial" w:cs="Arial"/>
          <w:b/>
          <w:sz w:val="24"/>
          <w:szCs w:val="24"/>
          <w:lang w:eastAsia="es-CL"/>
        </w:rPr>
        <w:t xml:space="preserve"> </w:t>
      </w:r>
    </w:p>
    <w:p w14:paraId="4BDED2BC" w14:textId="4693114E" w:rsidR="00537145" w:rsidRPr="00057DCF" w:rsidRDefault="00537145" w:rsidP="00537145">
      <w:pPr>
        <w:autoSpaceDE w:val="0"/>
        <w:autoSpaceDN w:val="0"/>
        <w:adjustRightInd w:val="0"/>
        <w:spacing w:after="0" w:line="240" w:lineRule="auto"/>
        <w:jc w:val="center"/>
        <w:rPr>
          <w:rFonts w:ascii="Arial" w:hAnsi="Arial" w:cs="Arial"/>
          <w:sz w:val="24"/>
          <w:szCs w:val="24"/>
          <w:lang w:eastAsia="es-CL"/>
        </w:rPr>
      </w:pPr>
      <w:r w:rsidRPr="00057DCF">
        <w:rPr>
          <w:rFonts w:ascii="Arial" w:hAnsi="Arial" w:cs="Arial"/>
          <w:sz w:val="24"/>
          <w:szCs w:val="24"/>
          <w:lang w:eastAsia="es-CL"/>
        </w:rPr>
        <w:t xml:space="preserve">Cifras actualizadas con información extraída del SAF al </w:t>
      </w:r>
      <w:r w:rsidR="005820DD">
        <w:rPr>
          <w:rFonts w:ascii="Arial" w:hAnsi="Arial" w:cs="Arial"/>
          <w:sz w:val="24"/>
          <w:szCs w:val="24"/>
          <w:lang w:eastAsia="es-CL"/>
        </w:rPr>
        <w:t>01</w:t>
      </w:r>
      <w:r w:rsidR="00151507" w:rsidRPr="00057DCF">
        <w:rPr>
          <w:rFonts w:ascii="Arial" w:hAnsi="Arial" w:cs="Arial"/>
          <w:sz w:val="24"/>
          <w:szCs w:val="24"/>
          <w:lang w:eastAsia="es-CL"/>
        </w:rPr>
        <w:t>-</w:t>
      </w:r>
      <w:r w:rsidR="005820DD">
        <w:rPr>
          <w:rFonts w:ascii="Arial" w:hAnsi="Arial" w:cs="Arial"/>
          <w:sz w:val="24"/>
          <w:szCs w:val="24"/>
          <w:lang w:eastAsia="es-CL"/>
        </w:rPr>
        <w:t>10</w:t>
      </w:r>
      <w:r w:rsidRPr="00057DCF">
        <w:rPr>
          <w:rFonts w:ascii="Arial" w:hAnsi="Arial" w:cs="Arial"/>
          <w:sz w:val="24"/>
          <w:szCs w:val="24"/>
          <w:lang w:eastAsia="es-CL"/>
        </w:rPr>
        <w:t>-202</w:t>
      </w:r>
      <w:r w:rsidR="00DD098A" w:rsidRPr="00057DCF">
        <w:rPr>
          <w:rFonts w:ascii="Arial" w:hAnsi="Arial" w:cs="Arial"/>
          <w:sz w:val="24"/>
          <w:szCs w:val="24"/>
          <w:lang w:eastAsia="es-CL"/>
        </w:rPr>
        <w:t>4</w:t>
      </w:r>
    </w:p>
    <w:p w14:paraId="6F94D683" w14:textId="191B6AD9" w:rsidR="00DB4149" w:rsidRPr="00057DCF" w:rsidRDefault="00DB4149" w:rsidP="00537145">
      <w:pPr>
        <w:autoSpaceDE w:val="0"/>
        <w:autoSpaceDN w:val="0"/>
        <w:adjustRightInd w:val="0"/>
        <w:spacing w:after="0" w:line="240" w:lineRule="auto"/>
        <w:jc w:val="center"/>
        <w:rPr>
          <w:rFonts w:ascii="Arial" w:hAnsi="Arial" w:cs="Arial"/>
          <w:sz w:val="24"/>
          <w:szCs w:val="24"/>
          <w:lang w:eastAsia="es-CL"/>
        </w:rPr>
      </w:pPr>
    </w:p>
    <w:p w14:paraId="3BF64C16" w14:textId="172E117C" w:rsidR="00204E46" w:rsidRPr="00057DCF" w:rsidRDefault="003B6DFD" w:rsidP="00204E46">
      <w:pPr>
        <w:autoSpaceDE w:val="0"/>
        <w:autoSpaceDN w:val="0"/>
        <w:adjustRightInd w:val="0"/>
        <w:spacing w:after="0" w:line="240" w:lineRule="auto"/>
        <w:jc w:val="both"/>
        <w:rPr>
          <w:rFonts w:ascii="Arial" w:hAnsi="Arial" w:cs="Arial"/>
          <w:b/>
          <w:sz w:val="24"/>
          <w:szCs w:val="24"/>
          <w:lang w:eastAsia="es-CL"/>
        </w:rPr>
      </w:pPr>
      <w:r w:rsidRPr="00057DCF">
        <w:rPr>
          <w:rFonts w:ascii="Arial" w:hAnsi="Arial" w:cs="Arial"/>
          <w:b/>
          <w:sz w:val="24"/>
          <w:szCs w:val="24"/>
          <w:lang w:eastAsia="es-CL"/>
        </w:rPr>
        <w:t xml:space="preserve">1- </w:t>
      </w:r>
      <w:r w:rsidR="00204E46" w:rsidRPr="00057DCF">
        <w:rPr>
          <w:rFonts w:ascii="Arial" w:hAnsi="Arial" w:cs="Arial"/>
          <w:b/>
          <w:sz w:val="24"/>
          <w:szCs w:val="24"/>
          <w:lang w:eastAsia="es-CL"/>
        </w:rPr>
        <w:t xml:space="preserve">Ingresos </w:t>
      </w:r>
      <w:r w:rsidR="00DB4149" w:rsidRPr="00057DCF">
        <w:rPr>
          <w:rFonts w:ascii="Arial" w:hAnsi="Arial" w:cs="Arial"/>
          <w:b/>
          <w:sz w:val="24"/>
          <w:szCs w:val="24"/>
          <w:lang w:eastAsia="es-CL"/>
        </w:rPr>
        <w:t>generales</w:t>
      </w:r>
    </w:p>
    <w:p w14:paraId="741CD903" w14:textId="4DE25C63" w:rsidR="00204E46" w:rsidRPr="00057DCF" w:rsidRDefault="00204E46" w:rsidP="00204E46">
      <w:p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Total de Casos (RUC): </w:t>
      </w:r>
      <w:r w:rsidR="00CB08F7" w:rsidRPr="00057DCF">
        <w:rPr>
          <w:rFonts w:ascii="Arial" w:hAnsi="Arial" w:cs="Arial"/>
          <w:sz w:val="24"/>
          <w:szCs w:val="24"/>
          <w:lang w:eastAsia="es-CL"/>
        </w:rPr>
        <w:t>2</w:t>
      </w:r>
      <w:r w:rsidR="00247DD6" w:rsidRPr="00057DCF">
        <w:rPr>
          <w:rFonts w:ascii="Arial" w:hAnsi="Arial" w:cs="Arial"/>
          <w:sz w:val="24"/>
          <w:szCs w:val="24"/>
          <w:lang w:eastAsia="es-CL"/>
        </w:rPr>
        <w:t>809</w:t>
      </w:r>
      <w:r w:rsidR="005B5151" w:rsidRPr="00057DCF">
        <w:rPr>
          <w:rStyle w:val="Refdenotaalpie"/>
          <w:rFonts w:ascii="Arial" w:hAnsi="Arial" w:cs="Arial"/>
          <w:sz w:val="24"/>
          <w:szCs w:val="24"/>
          <w:lang w:eastAsia="es-CL"/>
        </w:rPr>
        <w:footnoteReference w:id="7"/>
      </w:r>
    </w:p>
    <w:p w14:paraId="4CABAE33" w14:textId="77777777" w:rsidR="00204E46" w:rsidRPr="00057DCF" w:rsidRDefault="00204E46" w:rsidP="00204E46">
      <w:pPr>
        <w:autoSpaceDE w:val="0"/>
        <w:autoSpaceDN w:val="0"/>
        <w:adjustRightInd w:val="0"/>
        <w:spacing w:after="0" w:line="240" w:lineRule="auto"/>
        <w:jc w:val="both"/>
        <w:rPr>
          <w:rFonts w:ascii="Arial" w:hAnsi="Arial" w:cs="Arial"/>
          <w:sz w:val="24"/>
          <w:szCs w:val="24"/>
          <w:lang w:eastAsia="es-CL"/>
        </w:rPr>
      </w:pPr>
    </w:p>
    <w:p w14:paraId="7146AF32" w14:textId="4FA3EF81" w:rsidR="00204E46" w:rsidRPr="00057DCF" w:rsidRDefault="003B6DFD" w:rsidP="00204E46">
      <w:pPr>
        <w:autoSpaceDE w:val="0"/>
        <w:autoSpaceDN w:val="0"/>
        <w:adjustRightInd w:val="0"/>
        <w:spacing w:after="0" w:line="240" w:lineRule="auto"/>
        <w:jc w:val="both"/>
        <w:rPr>
          <w:rFonts w:ascii="Arial" w:hAnsi="Arial" w:cs="Arial"/>
          <w:b/>
          <w:sz w:val="24"/>
          <w:szCs w:val="24"/>
          <w:lang w:eastAsia="es-CL"/>
        </w:rPr>
      </w:pPr>
      <w:r w:rsidRPr="00057DCF">
        <w:rPr>
          <w:rFonts w:ascii="Arial" w:hAnsi="Arial" w:cs="Arial"/>
          <w:b/>
          <w:sz w:val="24"/>
          <w:szCs w:val="24"/>
          <w:lang w:eastAsia="es-CL"/>
        </w:rPr>
        <w:t xml:space="preserve">2- </w:t>
      </w:r>
      <w:r w:rsidR="002159EF" w:rsidRPr="00057DCF">
        <w:rPr>
          <w:rFonts w:ascii="Arial" w:hAnsi="Arial" w:cs="Arial"/>
          <w:b/>
          <w:sz w:val="24"/>
          <w:szCs w:val="24"/>
          <w:lang w:eastAsia="es-CL"/>
        </w:rPr>
        <w:t xml:space="preserve">Desglose </w:t>
      </w:r>
      <w:r w:rsidR="001E69E7" w:rsidRPr="00057DCF">
        <w:rPr>
          <w:rFonts w:ascii="Arial" w:hAnsi="Arial" w:cs="Arial"/>
          <w:b/>
          <w:sz w:val="24"/>
          <w:szCs w:val="24"/>
          <w:lang w:eastAsia="es-CL"/>
        </w:rPr>
        <w:t xml:space="preserve">de estado de caso </w:t>
      </w:r>
      <w:r w:rsidR="002159EF" w:rsidRPr="00057DCF">
        <w:rPr>
          <w:rFonts w:ascii="Arial" w:hAnsi="Arial" w:cs="Arial"/>
          <w:b/>
          <w:sz w:val="24"/>
          <w:szCs w:val="24"/>
          <w:lang w:eastAsia="es-CL"/>
        </w:rPr>
        <w:t>por RUC</w:t>
      </w:r>
    </w:p>
    <w:p w14:paraId="39F40BB0" w14:textId="47251586" w:rsidR="001E69E7" w:rsidRPr="00057DCF" w:rsidRDefault="001E69E7" w:rsidP="00204E46">
      <w:pPr>
        <w:autoSpaceDE w:val="0"/>
        <w:autoSpaceDN w:val="0"/>
        <w:adjustRightInd w:val="0"/>
        <w:spacing w:after="0" w:line="240" w:lineRule="auto"/>
        <w:jc w:val="both"/>
        <w:rPr>
          <w:rFonts w:ascii="Arial" w:hAnsi="Arial" w:cs="Arial"/>
          <w:b/>
          <w:sz w:val="24"/>
          <w:szCs w:val="24"/>
          <w:lang w:eastAsia="es-CL"/>
        </w:rPr>
      </w:pPr>
    </w:p>
    <w:p w14:paraId="74B79E34" w14:textId="77777777" w:rsidR="001E69E7" w:rsidRPr="00057DCF" w:rsidRDefault="001E69E7" w:rsidP="00204E46">
      <w:pPr>
        <w:autoSpaceDE w:val="0"/>
        <w:autoSpaceDN w:val="0"/>
        <w:adjustRightInd w:val="0"/>
        <w:spacing w:after="0" w:line="240" w:lineRule="auto"/>
        <w:jc w:val="both"/>
        <w:rPr>
          <w:rFonts w:ascii="Arial" w:hAnsi="Arial" w:cs="Arial"/>
          <w:b/>
          <w:sz w:val="24"/>
          <w:szCs w:val="24"/>
          <w:lang w:eastAsia="es-CL"/>
        </w:rPr>
      </w:pPr>
    </w:p>
    <w:tbl>
      <w:tblPr>
        <w:tblStyle w:val="Tablaconcuadrcula"/>
        <w:tblW w:w="4644" w:type="dxa"/>
        <w:jc w:val="center"/>
        <w:tblLook w:val="04A0" w:firstRow="1" w:lastRow="0" w:firstColumn="1" w:lastColumn="0" w:noHBand="0" w:noVBand="1"/>
      </w:tblPr>
      <w:tblGrid>
        <w:gridCol w:w="2943"/>
        <w:gridCol w:w="1701"/>
      </w:tblGrid>
      <w:tr w:rsidR="00FE0A55" w:rsidRPr="00057DCF" w14:paraId="7D6511F8" w14:textId="41B58E42" w:rsidTr="00D44A83">
        <w:trPr>
          <w:trHeight w:val="300"/>
          <w:jc w:val="center"/>
        </w:trPr>
        <w:tc>
          <w:tcPr>
            <w:tcW w:w="2943" w:type="dxa"/>
            <w:shd w:val="clear" w:color="auto" w:fill="DBE5F1" w:themeFill="accent1" w:themeFillTint="33"/>
            <w:noWrap/>
            <w:hideMark/>
          </w:tcPr>
          <w:p w14:paraId="48FDCCA8" w14:textId="77777777" w:rsidR="00FE0A55" w:rsidRPr="00057DCF" w:rsidRDefault="00FE0A55" w:rsidP="00E87F6E">
            <w:pPr>
              <w:jc w:val="center"/>
              <w:rPr>
                <w:rFonts w:ascii="Arial" w:eastAsia="Times New Roman" w:hAnsi="Arial" w:cs="Arial"/>
                <w:b/>
                <w:bCs/>
                <w:color w:val="000000"/>
                <w:lang w:eastAsia="es-CL"/>
              </w:rPr>
            </w:pPr>
            <w:r w:rsidRPr="00057DCF">
              <w:rPr>
                <w:rFonts w:ascii="Arial" w:eastAsia="Times New Roman" w:hAnsi="Arial" w:cs="Arial"/>
                <w:b/>
                <w:bCs/>
                <w:color w:val="000000"/>
                <w:lang w:eastAsia="es-CL"/>
              </w:rPr>
              <w:t>Estado de casos</w:t>
            </w:r>
          </w:p>
        </w:tc>
        <w:tc>
          <w:tcPr>
            <w:tcW w:w="1701" w:type="dxa"/>
            <w:shd w:val="clear" w:color="auto" w:fill="DBE5F1" w:themeFill="accent1" w:themeFillTint="33"/>
            <w:noWrap/>
            <w:hideMark/>
          </w:tcPr>
          <w:p w14:paraId="4BA1130F" w14:textId="230FB8EB" w:rsidR="00FE0A55" w:rsidRPr="00057DCF" w:rsidRDefault="00FE0A55" w:rsidP="00E87F6E">
            <w:pPr>
              <w:jc w:val="center"/>
              <w:rPr>
                <w:rFonts w:ascii="Arial" w:eastAsia="Times New Roman" w:hAnsi="Arial" w:cs="Arial"/>
                <w:b/>
                <w:bCs/>
                <w:color w:val="000000"/>
                <w:lang w:eastAsia="es-CL"/>
              </w:rPr>
            </w:pPr>
            <w:r w:rsidRPr="00057DCF">
              <w:rPr>
                <w:rFonts w:ascii="Arial" w:eastAsia="Times New Roman" w:hAnsi="Arial" w:cs="Arial"/>
                <w:b/>
                <w:bCs/>
                <w:color w:val="000000"/>
                <w:lang w:eastAsia="es-CL"/>
              </w:rPr>
              <w:t>N° de Querellas</w:t>
            </w:r>
          </w:p>
        </w:tc>
      </w:tr>
      <w:tr w:rsidR="00ED0646" w:rsidRPr="00057DCF" w14:paraId="70BDBCA3" w14:textId="2A33D523" w:rsidTr="00BB3EC0">
        <w:trPr>
          <w:trHeight w:val="300"/>
          <w:jc w:val="center"/>
        </w:trPr>
        <w:tc>
          <w:tcPr>
            <w:tcW w:w="2943" w:type="dxa"/>
            <w:noWrap/>
            <w:hideMark/>
          </w:tcPr>
          <w:p w14:paraId="296F4A09" w14:textId="5129AB71" w:rsidR="00ED0646" w:rsidRPr="00057DCF" w:rsidRDefault="00ED0646" w:rsidP="00ED0646">
            <w:pPr>
              <w:rPr>
                <w:rFonts w:ascii="Arial" w:eastAsia="Times New Roman" w:hAnsi="Arial" w:cs="Arial"/>
                <w:color w:val="000000"/>
                <w:lang w:eastAsia="es-CL"/>
              </w:rPr>
            </w:pPr>
            <w:r w:rsidRPr="00057DCF">
              <w:rPr>
                <w:rFonts w:ascii="Arial" w:eastAsia="Times New Roman" w:hAnsi="Arial" w:cs="Arial"/>
                <w:color w:val="000000"/>
                <w:lang w:eastAsia="es-CL"/>
              </w:rPr>
              <w:t>Terminado</w:t>
            </w:r>
          </w:p>
        </w:tc>
        <w:tc>
          <w:tcPr>
            <w:tcW w:w="1701" w:type="dxa"/>
            <w:noWrap/>
            <w:vAlign w:val="bottom"/>
            <w:hideMark/>
          </w:tcPr>
          <w:p w14:paraId="2D780753" w14:textId="255B767B" w:rsidR="00ED0646" w:rsidRPr="00ED0646" w:rsidRDefault="00ED0646" w:rsidP="00ED0646">
            <w:pPr>
              <w:jc w:val="center"/>
              <w:rPr>
                <w:rFonts w:ascii="Arial" w:hAnsi="Arial" w:cs="Arial"/>
                <w:color w:val="000000"/>
              </w:rPr>
            </w:pPr>
            <w:r w:rsidRPr="00ED0646">
              <w:rPr>
                <w:rFonts w:ascii="Arial" w:hAnsi="Arial" w:cs="Arial"/>
                <w:color w:val="000000"/>
              </w:rPr>
              <w:t>1947</w:t>
            </w:r>
          </w:p>
        </w:tc>
      </w:tr>
      <w:tr w:rsidR="00ED0646" w:rsidRPr="00057DCF" w14:paraId="1DC3E289" w14:textId="150D031A" w:rsidTr="00BB3EC0">
        <w:trPr>
          <w:trHeight w:val="300"/>
          <w:jc w:val="center"/>
        </w:trPr>
        <w:tc>
          <w:tcPr>
            <w:tcW w:w="2943" w:type="dxa"/>
            <w:noWrap/>
            <w:hideMark/>
          </w:tcPr>
          <w:p w14:paraId="39FAAFFA" w14:textId="70FD7AA3" w:rsidR="00ED0646" w:rsidRPr="00057DCF" w:rsidRDefault="00ED0646" w:rsidP="00ED0646">
            <w:pPr>
              <w:rPr>
                <w:rFonts w:ascii="Arial" w:eastAsia="Times New Roman" w:hAnsi="Arial" w:cs="Arial"/>
                <w:color w:val="000000"/>
                <w:lang w:eastAsia="es-CL"/>
              </w:rPr>
            </w:pPr>
            <w:r w:rsidRPr="00057DCF">
              <w:rPr>
                <w:rFonts w:ascii="Arial" w:eastAsia="Times New Roman" w:hAnsi="Arial" w:cs="Arial"/>
                <w:color w:val="000000"/>
                <w:lang w:eastAsia="es-CL"/>
              </w:rPr>
              <w:t>Vigente</w:t>
            </w:r>
          </w:p>
        </w:tc>
        <w:tc>
          <w:tcPr>
            <w:tcW w:w="1701" w:type="dxa"/>
            <w:noWrap/>
            <w:vAlign w:val="bottom"/>
            <w:hideMark/>
          </w:tcPr>
          <w:p w14:paraId="613DDFE9" w14:textId="7C195702" w:rsidR="00ED0646" w:rsidRPr="00ED0646" w:rsidRDefault="00ED0646" w:rsidP="00ED0646">
            <w:pPr>
              <w:jc w:val="center"/>
              <w:rPr>
                <w:rFonts w:ascii="Arial" w:hAnsi="Arial" w:cs="Arial"/>
                <w:color w:val="000000"/>
              </w:rPr>
            </w:pPr>
            <w:r w:rsidRPr="00ED0646">
              <w:rPr>
                <w:rFonts w:ascii="Arial" w:hAnsi="Arial" w:cs="Arial"/>
                <w:color w:val="000000"/>
              </w:rPr>
              <w:t>845</w:t>
            </w:r>
          </w:p>
        </w:tc>
      </w:tr>
      <w:tr w:rsidR="00ED0646" w:rsidRPr="00057DCF" w14:paraId="0EA2B217" w14:textId="77777777" w:rsidTr="000F5D3E">
        <w:trPr>
          <w:trHeight w:val="300"/>
          <w:jc w:val="center"/>
        </w:trPr>
        <w:tc>
          <w:tcPr>
            <w:tcW w:w="2943" w:type="dxa"/>
            <w:noWrap/>
          </w:tcPr>
          <w:p w14:paraId="6E560C04" w14:textId="499B794C" w:rsidR="00ED0646" w:rsidRPr="00057DCF" w:rsidRDefault="00ED0646" w:rsidP="00ED0646">
            <w:pPr>
              <w:rPr>
                <w:rFonts w:ascii="Arial" w:eastAsia="Times New Roman" w:hAnsi="Arial" w:cs="Arial"/>
                <w:color w:val="000000"/>
                <w:lang w:eastAsia="es-CL"/>
              </w:rPr>
            </w:pPr>
            <w:r w:rsidRPr="00057DCF">
              <w:rPr>
                <w:rFonts w:ascii="Arial" w:eastAsia="Times New Roman" w:hAnsi="Arial" w:cs="Arial"/>
                <w:color w:val="000000"/>
                <w:lang w:eastAsia="es-CL"/>
              </w:rPr>
              <w:t>Suspendido</w:t>
            </w:r>
          </w:p>
        </w:tc>
        <w:tc>
          <w:tcPr>
            <w:tcW w:w="1701" w:type="dxa"/>
            <w:noWrap/>
            <w:vAlign w:val="bottom"/>
          </w:tcPr>
          <w:p w14:paraId="7617EB16" w14:textId="7525B5F3" w:rsidR="00ED0646" w:rsidRPr="00ED0646" w:rsidRDefault="00ED0646" w:rsidP="00ED0646">
            <w:pPr>
              <w:jc w:val="center"/>
              <w:rPr>
                <w:rFonts w:ascii="Arial" w:hAnsi="Arial" w:cs="Arial"/>
                <w:color w:val="000000"/>
              </w:rPr>
            </w:pPr>
            <w:r w:rsidRPr="00ED0646">
              <w:rPr>
                <w:rFonts w:ascii="Arial" w:hAnsi="Arial" w:cs="Arial"/>
                <w:color w:val="000000"/>
              </w:rPr>
              <w:t>9</w:t>
            </w:r>
          </w:p>
        </w:tc>
      </w:tr>
      <w:tr w:rsidR="00ED0646" w:rsidRPr="00057DCF" w14:paraId="70F5C767" w14:textId="77777777" w:rsidTr="000F5D3E">
        <w:trPr>
          <w:trHeight w:val="300"/>
          <w:jc w:val="center"/>
        </w:trPr>
        <w:tc>
          <w:tcPr>
            <w:tcW w:w="2943" w:type="dxa"/>
            <w:noWrap/>
          </w:tcPr>
          <w:p w14:paraId="1E7A0A48" w14:textId="5FBA6CD4" w:rsidR="00ED0646" w:rsidRPr="00057DCF" w:rsidRDefault="00ED0646" w:rsidP="00ED0646">
            <w:pPr>
              <w:rPr>
                <w:rFonts w:ascii="Arial" w:eastAsia="Times New Roman" w:hAnsi="Arial" w:cs="Arial"/>
                <w:color w:val="000000"/>
                <w:lang w:eastAsia="es-CL"/>
              </w:rPr>
            </w:pPr>
            <w:r w:rsidRPr="00057DCF">
              <w:rPr>
                <w:rFonts w:ascii="Arial" w:eastAsia="Times New Roman" w:hAnsi="Arial" w:cs="Arial"/>
                <w:color w:val="000000"/>
                <w:lang w:eastAsia="es-CL"/>
              </w:rPr>
              <w:t>Transferido</w:t>
            </w:r>
          </w:p>
        </w:tc>
        <w:tc>
          <w:tcPr>
            <w:tcW w:w="1701" w:type="dxa"/>
            <w:noWrap/>
            <w:vAlign w:val="bottom"/>
          </w:tcPr>
          <w:p w14:paraId="4AE93DD4" w14:textId="2AB245F9" w:rsidR="00ED0646" w:rsidRPr="00ED0646" w:rsidRDefault="00ED0646" w:rsidP="00ED0646">
            <w:pPr>
              <w:jc w:val="center"/>
              <w:rPr>
                <w:rFonts w:ascii="Arial" w:hAnsi="Arial" w:cs="Arial"/>
                <w:color w:val="000000"/>
              </w:rPr>
            </w:pPr>
            <w:r w:rsidRPr="00ED0646">
              <w:rPr>
                <w:rFonts w:ascii="Arial" w:hAnsi="Arial" w:cs="Arial"/>
                <w:color w:val="000000"/>
              </w:rPr>
              <w:t>8</w:t>
            </w:r>
          </w:p>
        </w:tc>
      </w:tr>
      <w:tr w:rsidR="00247DD6" w:rsidRPr="00057DCF" w14:paraId="40AA1A5F" w14:textId="2F3B82CB" w:rsidTr="000F5D3E">
        <w:trPr>
          <w:trHeight w:val="300"/>
          <w:jc w:val="center"/>
        </w:trPr>
        <w:tc>
          <w:tcPr>
            <w:tcW w:w="2943" w:type="dxa"/>
            <w:noWrap/>
            <w:vAlign w:val="center"/>
            <w:hideMark/>
          </w:tcPr>
          <w:p w14:paraId="7ED66307" w14:textId="6BBA660B" w:rsidR="00247DD6" w:rsidRPr="00057DCF" w:rsidRDefault="00247DD6" w:rsidP="00247DD6">
            <w:pPr>
              <w:rPr>
                <w:rFonts w:ascii="Arial" w:eastAsia="Times New Roman" w:hAnsi="Arial" w:cs="Arial"/>
                <w:b/>
                <w:bCs/>
                <w:color w:val="000000"/>
                <w:lang w:eastAsia="es-CL"/>
              </w:rPr>
            </w:pPr>
            <w:r w:rsidRPr="00057DCF">
              <w:rPr>
                <w:rFonts w:ascii="Arial" w:eastAsia="Times New Roman" w:hAnsi="Arial" w:cs="Arial"/>
                <w:b/>
                <w:bCs/>
                <w:color w:val="000000"/>
                <w:lang w:eastAsia="es-CL"/>
              </w:rPr>
              <w:t>Total</w:t>
            </w:r>
          </w:p>
        </w:tc>
        <w:tc>
          <w:tcPr>
            <w:tcW w:w="1701" w:type="dxa"/>
            <w:noWrap/>
            <w:vAlign w:val="bottom"/>
            <w:hideMark/>
          </w:tcPr>
          <w:p w14:paraId="01A20BC4" w14:textId="242A317B" w:rsidR="00247DD6" w:rsidRPr="00057DCF" w:rsidRDefault="00247DD6" w:rsidP="00247DD6">
            <w:pPr>
              <w:jc w:val="center"/>
              <w:rPr>
                <w:rFonts w:ascii="Arial" w:eastAsia="Times New Roman" w:hAnsi="Arial" w:cs="Arial"/>
                <w:b/>
                <w:bCs/>
                <w:color w:val="000000"/>
                <w:sz w:val="20"/>
                <w:lang w:eastAsia="es-CL"/>
              </w:rPr>
            </w:pPr>
            <w:r w:rsidRPr="00057DCF">
              <w:rPr>
                <w:rFonts w:ascii="Arial" w:hAnsi="Arial" w:cs="Arial"/>
                <w:b/>
                <w:bCs/>
                <w:color w:val="000000"/>
                <w:sz w:val="20"/>
              </w:rPr>
              <w:t>2809</w:t>
            </w:r>
          </w:p>
        </w:tc>
      </w:tr>
    </w:tbl>
    <w:p w14:paraId="77637350" w14:textId="77777777" w:rsidR="003B6DFD" w:rsidRPr="00057DCF" w:rsidRDefault="003B6DFD" w:rsidP="00204E46">
      <w:pPr>
        <w:autoSpaceDE w:val="0"/>
        <w:autoSpaceDN w:val="0"/>
        <w:adjustRightInd w:val="0"/>
        <w:spacing w:after="0" w:line="240" w:lineRule="auto"/>
        <w:jc w:val="both"/>
        <w:rPr>
          <w:rFonts w:ascii="Arial" w:hAnsi="Arial" w:cs="Arial"/>
          <w:sz w:val="24"/>
          <w:szCs w:val="24"/>
          <w:lang w:eastAsia="es-CL"/>
        </w:rPr>
      </w:pPr>
    </w:p>
    <w:p w14:paraId="3D4BBEDF" w14:textId="0A829FCC" w:rsidR="003B6DFD" w:rsidRPr="00057DCF" w:rsidRDefault="00D4635C" w:rsidP="003B6DFD">
      <w:pPr>
        <w:pStyle w:val="Prrafodelista"/>
        <w:autoSpaceDE w:val="0"/>
        <w:autoSpaceDN w:val="0"/>
        <w:adjustRightInd w:val="0"/>
        <w:spacing w:after="0" w:line="240" w:lineRule="auto"/>
        <w:ind w:left="0"/>
        <w:jc w:val="both"/>
        <w:rPr>
          <w:rFonts w:ascii="Arial" w:hAnsi="Arial" w:cs="Arial"/>
          <w:b/>
          <w:sz w:val="24"/>
          <w:szCs w:val="24"/>
          <w:lang w:eastAsia="es-CL"/>
        </w:rPr>
      </w:pPr>
      <w:r w:rsidRPr="00057DCF">
        <w:rPr>
          <w:rFonts w:ascii="Arial" w:hAnsi="Arial" w:cs="Arial"/>
          <w:b/>
          <w:sz w:val="24"/>
          <w:szCs w:val="24"/>
          <w:lang w:eastAsia="es-CL"/>
        </w:rPr>
        <w:t>3</w:t>
      </w:r>
      <w:r w:rsidR="003B6DFD" w:rsidRPr="00057DCF">
        <w:rPr>
          <w:rFonts w:ascii="Arial" w:hAnsi="Arial" w:cs="Arial"/>
          <w:b/>
          <w:sz w:val="24"/>
          <w:szCs w:val="24"/>
          <w:lang w:eastAsia="es-CL"/>
        </w:rPr>
        <w:t>- Tipos de término por RUC</w:t>
      </w:r>
      <w:r w:rsidR="009E17D9" w:rsidRPr="00057DCF">
        <w:rPr>
          <w:rStyle w:val="Refdenotaalpie"/>
          <w:rFonts w:ascii="Arial" w:hAnsi="Arial" w:cs="Arial"/>
          <w:b/>
          <w:sz w:val="24"/>
          <w:szCs w:val="24"/>
          <w:lang w:eastAsia="es-CL"/>
        </w:rPr>
        <w:footnoteReference w:id="8"/>
      </w:r>
    </w:p>
    <w:p w14:paraId="60130246" w14:textId="463157B5" w:rsidR="00716694" w:rsidRPr="00057DCF" w:rsidRDefault="00716694" w:rsidP="00890E0A">
      <w:pPr>
        <w:pStyle w:val="Prrafodelista"/>
        <w:autoSpaceDE w:val="0"/>
        <w:autoSpaceDN w:val="0"/>
        <w:adjustRightInd w:val="0"/>
        <w:spacing w:after="0" w:line="240" w:lineRule="auto"/>
        <w:ind w:left="0"/>
        <w:jc w:val="both"/>
        <w:rPr>
          <w:rFonts w:ascii="Arial" w:hAnsi="Arial" w:cs="Arial"/>
          <w:sz w:val="24"/>
          <w:szCs w:val="24"/>
          <w:lang w:eastAsia="es-CL"/>
        </w:rPr>
      </w:pPr>
    </w:p>
    <w:tbl>
      <w:tblPr>
        <w:tblW w:w="5949" w:type="dxa"/>
        <w:jc w:val="center"/>
        <w:tblCellMar>
          <w:left w:w="70" w:type="dxa"/>
          <w:right w:w="70" w:type="dxa"/>
        </w:tblCellMar>
        <w:tblLook w:val="04A0" w:firstRow="1" w:lastRow="0" w:firstColumn="1" w:lastColumn="0" w:noHBand="0" w:noVBand="1"/>
      </w:tblPr>
      <w:tblGrid>
        <w:gridCol w:w="4248"/>
        <w:gridCol w:w="1701"/>
      </w:tblGrid>
      <w:tr w:rsidR="00FE0A55" w:rsidRPr="00057DCF" w14:paraId="2F28F427" w14:textId="77777777" w:rsidTr="00247DD6">
        <w:trPr>
          <w:trHeight w:val="300"/>
          <w:jc w:val="center"/>
        </w:trPr>
        <w:tc>
          <w:tcPr>
            <w:tcW w:w="4248" w:type="dxa"/>
            <w:tcBorders>
              <w:top w:val="single" w:sz="4" w:space="0" w:color="auto"/>
              <w:left w:val="single" w:sz="4" w:space="0" w:color="auto"/>
              <w:bottom w:val="single" w:sz="4" w:space="0" w:color="auto"/>
              <w:right w:val="single" w:sz="4" w:space="0" w:color="auto"/>
            </w:tcBorders>
            <w:shd w:val="clear" w:color="D9E1F2" w:fill="D9E1F2"/>
            <w:noWrap/>
            <w:vAlign w:val="center"/>
            <w:hideMark/>
          </w:tcPr>
          <w:p w14:paraId="7EE7C7E8" w14:textId="77777777" w:rsidR="00FE0A55" w:rsidRPr="00057DCF" w:rsidRDefault="00FE0A55" w:rsidP="00247DD6">
            <w:pPr>
              <w:spacing w:after="0" w:line="240" w:lineRule="auto"/>
              <w:jc w:val="center"/>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Motivo de término</w:t>
            </w:r>
          </w:p>
        </w:tc>
        <w:tc>
          <w:tcPr>
            <w:tcW w:w="1701" w:type="dxa"/>
            <w:tcBorders>
              <w:top w:val="single" w:sz="4" w:space="0" w:color="auto"/>
              <w:left w:val="nil"/>
              <w:bottom w:val="single" w:sz="4" w:space="0" w:color="auto"/>
              <w:right w:val="single" w:sz="4" w:space="0" w:color="auto"/>
            </w:tcBorders>
            <w:shd w:val="clear" w:color="D9E1F2" w:fill="D9E1F2"/>
            <w:noWrap/>
            <w:vAlign w:val="center"/>
            <w:hideMark/>
          </w:tcPr>
          <w:p w14:paraId="1CED16E7" w14:textId="409C4EEC" w:rsidR="00FE0A55" w:rsidRPr="00057DCF" w:rsidRDefault="00FE0A55" w:rsidP="00247DD6">
            <w:pPr>
              <w:spacing w:after="0" w:line="240" w:lineRule="auto"/>
              <w:jc w:val="center"/>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N° Querellas</w:t>
            </w:r>
          </w:p>
        </w:tc>
      </w:tr>
      <w:tr w:rsidR="00247DD6" w:rsidRPr="00057DCF" w14:paraId="20CD2076"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512B40E0" w14:textId="061B94F6"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Decisión de no perseverar en el procedimiento</w:t>
            </w:r>
          </w:p>
        </w:tc>
        <w:tc>
          <w:tcPr>
            <w:tcW w:w="1701" w:type="dxa"/>
            <w:tcBorders>
              <w:top w:val="nil"/>
              <w:left w:val="nil"/>
              <w:bottom w:val="single" w:sz="4" w:space="0" w:color="auto"/>
              <w:right w:val="single" w:sz="4" w:space="0" w:color="auto"/>
            </w:tcBorders>
            <w:shd w:val="clear" w:color="auto" w:fill="auto"/>
            <w:noWrap/>
            <w:vAlign w:val="center"/>
            <w:hideMark/>
          </w:tcPr>
          <w:p w14:paraId="0364C0DF" w14:textId="1B7BDF97" w:rsidR="00247DD6" w:rsidRPr="00057DCF" w:rsidRDefault="004F3010" w:rsidP="00057DCF">
            <w:pPr>
              <w:spacing w:after="0" w:line="240" w:lineRule="auto"/>
              <w:jc w:val="center"/>
              <w:rPr>
                <w:rFonts w:ascii="Arial" w:eastAsia="Times New Roman" w:hAnsi="Arial" w:cs="Arial"/>
                <w:color w:val="000000"/>
                <w:szCs w:val="20"/>
                <w:lang w:eastAsia="es-CL"/>
              </w:rPr>
            </w:pPr>
            <w:r w:rsidRPr="004F3010">
              <w:rPr>
                <w:rFonts w:ascii="Arial" w:hAnsi="Arial" w:cs="Arial"/>
                <w:color w:val="000000"/>
              </w:rPr>
              <w:t>1305</w:t>
            </w:r>
          </w:p>
        </w:tc>
      </w:tr>
      <w:tr w:rsidR="00247DD6" w:rsidRPr="00057DCF" w14:paraId="05C45D42"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78631645" w14:textId="5255E1A2"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Agrupado</w:t>
            </w:r>
          </w:p>
        </w:tc>
        <w:tc>
          <w:tcPr>
            <w:tcW w:w="1701" w:type="dxa"/>
            <w:tcBorders>
              <w:top w:val="nil"/>
              <w:left w:val="nil"/>
              <w:bottom w:val="single" w:sz="4" w:space="0" w:color="auto"/>
              <w:right w:val="single" w:sz="4" w:space="0" w:color="auto"/>
            </w:tcBorders>
            <w:shd w:val="clear" w:color="auto" w:fill="auto"/>
            <w:noWrap/>
            <w:vAlign w:val="center"/>
            <w:hideMark/>
          </w:tcPr>
          <w:p w14:paraId="0C5A593E" w14:textId="4D1C24CC" w:rsidR="00247DD6" w:rsidRPr="00057DCF" w:rsidRDefault="00057DCF" w:rsidP="00247DD6">
            <w:pPr>
              <w:spacing w:after="0" w:line="240" w:lineRule="auto"/>
              <w:jc w:val="center"/>
              <w:rPr>
                <w:rFonts w:ascii="Arial" w:eastAsia="Times New Roman" w:hAnsi="Arial" w:cs="Arial"/>
                <w:color w:val="000000"/>
                <w:szCs w:val="20"/>
                <w:lang w:eastAsia="es-CL"/>
              </w:rPr>
            </w:pPr>
            <w:r w:rsidRPr="00057DCF">
              <w:rPr>
                <w:rFonts w:ascii="Arial" w:hAnsi="Arial" w:cs="Arial"/>
                <w:color w:val="000000"/>
              </w:rPr>
              <w:t>567</w:t>
            </w:r>
          </w:p>
        </w:tc>
      </w:tr>
      <w:tr w:rsidR="00247DD6" w:rsidRPr="00057DCF" w14:paraId="226731BB"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593A68B2" w14:textId="4F7344A1"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Sentencia definitiva condenatoria</w:t>
            </w:r>
          </w:p>
        </w:tc>
        <w:tc>
          <w:tcPr>
            <w:tcW w:w="1701" w:type="dxa"/>
            <w:tcBorders>
              <w:top w:val="nil"/>
              <w:left w:val="nil"/>
              <w:bottom w:val="single" w:sz="4" w:space="0" w:color="auto"/>
              <w:right w:val="single" w:sz="4" w:space="0" w:color="auto"/>
            </w:tcBorders>
            <w:shd w:val="clear" w:color="auto" w:fill="auto"/>
            <w:noWrap/>
            <w:vAlign w:val="center"/>
            <w:hideMark/>
          </w:tcPr>
          <w:p w14:paraId="30CF5116" w14:textId="27A7918F" w:rsidR="00247DD6" w:rsidRPr="00057DCF" w:rsidRDefault="004F3010"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45</w:t>
            </w:r>
          </w:p>
        </w:tc>
      </w:tr>
      <w:tr w:rsidR="00247DD6" w:rsidRPr="00057DCF" w14:paraId="0A1FD0D1"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6BEB9731" w14:textId="5F38DD28"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Archivo Provisional</w:t>
            </w:r>
          </w:p>
        </w:tc>
        <w:tc>
          <w:tcPr>
            <w:tcW w:w="1701" w:type="dxa"/>
            <w:tcBorders>
              <w:top w:val="nil"/>
              <w:left w:val="nil"/>
              <w:bottom w:val="single" w:sz="4" w:space="0" w:color="auto"/>
              <w:right w:val="single" w:sz="4" w:space="0" w:color="auto"/>
            </w:tcBorders>
            <w:shd w:val="clear" w:color="auto" w:fill="auto"/>
            <w:noWrap/>
            <w:vAlign w:val="center"/>
            <w:hideMark/>
          </w:tcPr>
          <w:p w14:paraId="48141ED9" w14:textId="77342AF2" w:rsidR="00247DD6" w:rsidRPr="00057DCF" w:rsidRDefault="00247DD6" w:rsidP="00247DD6">
            <w:pPr>
              <w:spacing w:after="0" w:line="240" w:lineRule="auto"/>
              <w:jc w:val="center"/>
              <w:rPr>
                <w:rFonts w:ascii="Arial" w:eastAsia="Times New Roman" w:hAnsi="Arial" w:cs="Arial"/>
                <w:color w:val="000000"/>
                <w:szCs w:val="20"/>
                <w:lang w:eastAsia="es-CL"/>
              </w:rPr>
            </w:pPr>
            <w:r w:rsidRPr="00057DCF">
              <w:rPr>
                <w:rFonts w:ascii="Arial" w:hAnsi="Arial" w:cs="Arial"/>
              </w:rPr>
              <w:t>27</w:t>
            </w:r>
          </w:p>
        </w:tc>
      </w:tr>
      <w:tr w:rsidR="00247DD6" w:rsidRPr="00057DCF" w14:paraId="26C07B1C"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019A8FDC" w14:textId="2C40229B" w:rsidR="00247DD6" w:rsidRPr="00057DCF" w:rsidRDefault="00247DD6"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Sentencia definitiva absolutoria</w:t>
            </w:r>
          </w:p>
        </w:tc>
        <w:tc>
          <w:tcPr>
            <w:tcW w:w="1701" w:type="dxa"/>
            <w:tcBorders>
              <w:top w:val="nil"/>
              <w:left w:val="nil"/>
              <w:bottom w:val="single" w:sz="4" w:space="0" w:color="auto"/>
              <w:right w:val="single" w:sz="4" w:space="0" w:color="auto"/>
            </w:tcBorders>
            <w:shd w:val="clear" w:color="auto" w:fill="auto"/>
            <w:noWrap/>
            <w:vAlign w:val="center"/>
            <w:hideMark/>
          </w:tcPr>
          <w:p w14:paraId="218DABA9" w14:textId="39FB9DAF" w:rsidR="00247DD6" w:rsidRPr="00057DCF" w:rsidRDefault="005820DD" w:rsidP="00247DD6">
            <w:pPr>
              <w:spacing w:after="0" w:line="240" w:lineRule="auto"/>
              <w:jc w:val="center"/>
              <w:rPr>
                <w:rFonts w:ascii="Arial" w:eastAsia="Times New Roman" w:hAnsi="Arial" w:cs="Arial"/>
                <w:color w:val="000000"/>
                <w:szCs w:val="20"/>
                <w:lang w:eastAsia="es-CL"/>
              </w:rPr>
            </w:pPr>
            <w:r>
              <w:rPr>
                <w:rFonts w:ascii="Arial" w:hAnsi="Arial" w:cs="Arial"/>
              </w:rPr>
              <w:t>24</w:t>
            </w:r>
          </w:p>
        </w:tc>
      </w:tr>
      <w:tr w:rsidR="001364F2" w:rsidRPr="00057DCF" w14:paraId="677C3695"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413FB398" w14:textId="0A1BF9FA"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Otras causales de término</w:t>
            </w:r>
          </w:p>
        </w:tc>
        <w:tc>
          <w:tcPr>
            <w:tcW w:w="1701" w:type="dxa"/>
            <w:tcBorders>
              <w:top w:val="nil"/>
              <w:left w:val="nil"/>
              <w:bottom w:val="single" w:sz="4" w:space="0" w:color="auto"/>
              <w:right w:val="single" w:sz="4" w:space="0" w:color="auto"/>
            </w:tcBorders>
            <w:shd w:val="clear" w:color="auto" w:fill="auto"/>
            <w:noWrap/>
            <w:vAlign w:val="center"/>
            <w:hideMark/>
          </w:tcPr>
          <w:p w14:paraId="43D9A091" w14:textId="2CBE5E82" w:rsidR="001364F2" w:rsidRPr="00057DCF" w:rsidRDefault="005820DD"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8</w:t>
            </w:r>
          </w:p>
        </w:tc>
      </w:tr>
      <w:tr w:rsidR="001364F2" w:rsidRPr="00057DCF" w14:paraId="5450926A"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2346E79E" w14:textId="7B99FAF6"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Sobreseimiento Definitivo</w:t>
            </w:r>
          </w:p>
        </w:tc>
        <w:tc>
          <w:tcPr>
            <w:tcW w:w="1701" w:type="dxa"/>
            <w:tcBorders>
              <w:top w:val="nil"/>
              <w:left w:val="nil"/>
              <w:bottom w:val="single" w:sz="4" w:space="0" w:color="auto"/>
              <w:right w:val="single" w:sz="4" w:space="0" w:color="auto"/>
            </w:tcBorders>
            <w:shd w:val="clear" w:color="auto" w:fill="auto"/>
            <w:noWrap/>
            <w:vAlign w:val="center"/>
            <w:hideMark/>
          </w:tcPr>
          <w:p w14:paraId="72306B0B" w14:textId="2808A630" w:rsidR="001364F2" w:rsidRPr="00057DCF" w:rsidRDefault="005820DD" w:rsidP="00247DD6">
            <w:pPr>
              <w:spacing w:after="0" w:line="240" w:lineRule="auto"/>
              <w:jc w:val="center"/>
              <w:rPr>
                <w:rFonts w:ascii="Arial" w:eastAsia="Times New Roman" w:hAnsi="Arial" w:cs="Arial"/>
                <w:color w:val="000000"/>
                <w:szCs w:val="20"/>
                <w:lang w:eastAsia="es-CL"/>
              </w:rPr>
            </w:pPr>
            <w:r>
              <w:rPr>
                <w:rFonts w:ascii="Arial" w:hAnsi="Arial" w:cs="Arial"/>
                <w:color w:val="000000"/>
              </w:rPr>
              <w:t>7</w:t>
            </w:r>
          </w:p>
        </w:tc>
      </w:tr>
      <w:tr w:rsidR="001364F2" w:rsidRPr="00057DCF" w14:paraId="0A8A601E"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320DCB12" w14:textId="479162A4"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No Inicio Investigación</w:t>
            </w:r>
          </w:p>
        </w:tc>
        <w:tc>
          <w:tcPr>
            <w:tcW w:w="1701" w:type="dxa"/>
            <w:tcBorders>
              <w:top w:val="nil"/>
              <w:left w:val="nil"/>
              <w:bottom w:val="single" w:sz="4" w:space="0" w:color="auto"/>
              <w:right w:val="single" w:sz="4" w:space="0" w:color="auto"/>
            </w:tcBorders>
            <w:shd w:val="clear" w:color="auto" w:fill="auto"/>
            <w:noWrap/>
            <w:vAlign w:val="center"/>
            <w:hideMark/>
          </w:tcPr>
          <w:p w14:paraId="56342DDB" w14:textId="2CCA89DE" w:rsidR="001364F2" w:rsidRPr="00057DCF" w:rsidRDefault="001364F2" w:rsidP="00247DD6">
            <w:pPr>
              <w:spacing w:after="0" w:line="240" w:lineRule="auto"/>
              <w:jc w:val="center"/>
              <w:rPr>
                <w:rFonts w:ascii="Arial" w:eastAsia="Times New Roman" w:hAnsi="Arial" w:cs="Arial"/>
                <w:color w:val="000000"/>
                <w:szCs w:val="20"/>
                <w:lang w:eastAsia="es-CL"/>
              </w:rPr>
            </w:pPr>
            <w:r w:rsidRPr="00057DCF">
              <w:rPr>
                <w:rFonts w:ascii="Arial" w:hAnsi="Arial" w:cs="Arial"/>
                <w:color w:val="000000"/>
              </w:rPr>
              <w:t>3</w:t>
            </w:r>
          </w:p>
        </w:tc>
      </w:tr>
      <w:tr w:rsidR="001364F2" w:rsidRPr="00057DCF" w14:paraId="1BA557BC" w14:textId="77777777" w:rsidTr="00247DD6">
        <w:trPr>
          <w:trHeight w:val="300"/>
          <w:jc w:val="center"/>
        </w:trPr>
        <w:tc>
          <w:tcPr>
            <w:tcW w:w="4248" w:type="dxa"/>
            <w:tcBorders>
              <w:top w:val="nil"/>
              <w:left w:val="single" w:sz="4" w:space="0" w:color="auto"/>
              <w:bottom w:val="single" w:sz="4" w:space="0" w:color="auto"/>
              <w:right w:val="single" w:sz="4" w:space="0" w:color="auto"/>
            </w:tcBorders>
            <w:shd w:val="clear" w:color="auto" w:fill="auto"/>
            <w:noWrap/>
            <w:vAlign w:val="center"/>
            <w:hideMark/>
          </w:tcPr>
          <w:p w14:paraId="79960C9A" w14:textId="41EC0E11" w:rsidR="001364F2" w:rsidRPr="00057DCF" w:rsidRDefault="001364F2" w:rsidP="00247DD6">
            <w:pPr>
              <w:spacing w:after="0" w:line="240" w:lineRule="auto"/>
              <w:rPr>
                <w:rFonts w:ascii="Arial" w:eastAsia="Times New Roman" w:hAnsi="Arial" w:cs="Arial"/>
                <w:color w:val="000000"/>
                <w:szCs w:val="20"/>
                <w:lang w:eastAsia="es-CL"/>
              </w:rPr>
            </w:pPr>
            <w:r w:rsidRPr="00057DCF">
              <w:rPr>
                <w:rFonts w:ascii="Arial" w:hAnsi="Arial" w:cs="Arial"/>
                <w:color w:val="000000"/>
              </w:rPr>
              <w:t>Incompetencia</w:t>
            </w:r>
          </w:p>
        </w:tc>
        <w:tc>
          <w:tcPr>
            <w:tcW w:w="1701" w:type="dxa"/>
            <w:tcBorders>
              <w:top w:val="nil"/>
              <w:left w:val="nil"/>
              <w:bottom w:val="single" w:sz="4" w:space="0" w:color="auto"/>
              <w:right w:val="single" w:sz="4" w:space="0" w:color="auto"/>
            </w:tcBorders>
            <w:shd w:val="clear" w:color="auto" w:fill="auto"/>
            <w:noWrap/>
            <w:vAlign w:val="center"/>
            <w:hideMark/>
          </w:tcPr>
          <w:p w14:paraId="0C6E6882" w14:textId="116B14C9" w:rsidR="001364F2" w:rsidRPr="00057DCF" w:rsidRDefault="001364F2" w:rsidP="00247DD6">
            <w:pPr>
              <w:spacing w:after="0" w:line="240" w:lineRule="auto"/>
              <w:jc w:val="center"/>
              <w:rPr>
                <w:rFonts w:ascii="Arial" w:eastAsia="Times New Roman" w:hAnsi="Arial" w:cs="Arial"/>
                <w:color w:val="000000"/>
                <w:szCs w:val="20"/>
                <w:lang w:eastAsia="es-CL"/>
              </w:rPr>
            </w:pPr>
            <w:r w:rsidRPr="00057DCF">
              <w:rPr>
                <w:rFonts w:ascii="Arial" w:hAnsi="Arial" w:cs="Arial"/>
                <w:color w:val="000000"/>
              </w:rPr>
              <w:t>2</w:t>
            </w:r>
          </w:p>
        </w:tc>
      </w:tr>
      <w:tr w:rsidR="00FE0A55" w:rsidRPr="00057DCF" w14:paraId="260B8B8B" w14:textId="77777777" w:rsidTr="00247DD6">
        <w:trPr>
          <w:trHeight w:val="60"/>
          <w:jc w:val="center"/>
        </w:trPr>
        <w:tc>
          <w:tcPr>
            <w:tcW w:w="4248" w:type="dxa"/>
            <w:tcBorders>
              <w:top w:val="nil"/>
              <w:left w:val="single" w:sz="4" w:space="0" w:color="auto"/>
              <w:bottom w:val="single" w:sz="4" w:space="0" w:color="auto"/>
              <w:right w:val="single" w:sz="4" w:space="0" w:color="auto"/>
            </w:tcBorders>
            <w:shd w:val="clear" w:color="D9E1F2" w:fill="D9E1F2"/>
            <w:noWrap/>
            <w:vAlign w:val="center"/>
            <w:hideMark/>
          </w:tcPr>
          <w:p w14:paraId="3123918E" w14:textId="5D3D9CFC" w:rsidR="00FE0A55" w:rsidRPr="00057DCF" w:rsidRDefault="00FE0A55" w:rsidP="00247DD6">
            <w:pPr>
              <w:spacing w:after="0" w:line="240" w:lineRule="auto"/>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Total</w:t>
            </w:r>
          </w:p>
        </w:tc>
        <w:tc>
          <w:tcPr>
            <w:tcW w:w="1701" w:type="dxa"/>
            <w:tcBorders>
              <w:top w:val="nil"/>
              <w:left w:val="nil"/>
              <w:bottom w:val="single" w:sz="4" w:space="0" w:color="auto"/>
              <w:right w:val="single" w:sz="4" w:space="0" w:color="auto"/>
            </w:tcBorders>
            <w:shd w:val="clear" w:color="D9E1F2" w:fill="D9E1F2"/>
            <w:noWrap/>
            <w:vAlign w:val="center"/>
            <w:hideMark/>
          </w:tcPr>
          <w:p w14:paraId="3C93BF4A" w14:textId="249AD63F" w:rsidR="00FE0A55" w:rsidRPr="00057DCF" w:rsidRDefault="00247DD6" w:rsidP="005820DD">
            <w:pPr>
              <w:spacing w:after="0" w:line="240" w:lineRule="auto"/>
              <w:jc w:val="center"/>
              <w:rPr>
                <w:rFonts w:ascii="Arial" w:eastAsia="Times New Roman" w:hAnsi="Arial" w:cs="Arial"/>
                <w:b/>
                <w:bCs/>
                <w:color w:val="000000"/>
                <w:szCs w:val="20"/>
                <w:lang w:eastAsia="es-CL"/>
              </w:rPr>
            </w:pPr>
            <w:r w:rsidRPr="00057DCF">
              <w:rPr>
                <w:rFonts w:ascii="Arial" w:eastAsia="Times New Roman" w:hAnsi="Arial" w:cs="Arial"/>
                <w:b/>
                <w:bCs/>
                <w:color w:val="000000"/>
                <w:szCs w:val="20"/>
                <w:lang w:eastAsia="es-CL"/>
              </w:rPr>
              <w:t>1</w:t>
            </w:r>
            <w:r w:rsidR="005820DD">
              <w:rPr>
                <w:rFonts w:ascii="Arial" w:eastAsia="Times New Roman" w:hAnsi="Arial" w:cs="Arial"/>
                <w:b/>
                <w:bCs/>
                <w:color w:val="000000"/>
                <w:szCs w:val="20"/>
                <w:lang w:eastAsia="es-CL"/>
              </w:rPr>
              <w:t>967</w:t>
            </w:r>
            <w:r w:rsidR="00FE0A55" w:rsidRPr="00057DCF">
              <w:rPr>
                <w:rStyle w:val="Refdenotaalpie"/>
                <w:rFonts w:ascii="Arial" w:hAnsi="Arial" w:cs="Arial"/>
                <w:szCs w:val="24"/>
                <w:lang w:eastAsia="es-CL"/>
              </w:rPr>
              <w:footnoteReference w:id="9"/>
            </w:r>
          </w:p>
        </w:tc>
      </w:tr>
    </w:tbl>
    <w:p w14:paraId="4F9A6081" w14:textId="328A063C" w:rsidR="00FE0A55" w:rsidRPr="00057DCF" w:rsidRDefault="00FE0A55" w:rsidP="008A0B4C">
      <w:pPr>
        <w:pStyle w:val="Prrafodelista"/>
        <w:autoSpaceDE w:val="0"/>
        <w:autoSpaceDN w:val="0"/>
        <w:adjustRightInd w:val="0"/>
        <w:spacing w:after="0" w:line="240" w:lineRule="auto"/>
        <w:ind w:left="0"/>
        <w:jc w:val="both"/>
        <w:rPr>
          <w:rFonts w:ascii="Arial" w:hAnsi="Arial" w:cs="Arial"/>
          <w:sz w:val="24"/>
          <w:szCs w:val="24"/>
          <w:lang w:eastAsia="es-CL"/>
        </w:rPr>
      </w:pPr>
    </w:p>
    <w:p w14:paraId="7934C407" w14:textId="106604D1" w:rsidR="00CB568C" w:rsidRPr="00057DCF" w:rsidRDefault="00D85914" w:rsidP="00CB568C">
      <w:pPr>
        <w:jc w:val="center"/>
        <w:rPr>
          <w:rFonts w:ascii="Arial" w:hAnsi="Arial" w:cs="Arial"/>
          <w:b/>
          <w:sz w:val="24"/>
          <w:szCs w:val="24"/>
        </w:rPr>
      </w:pPr>
      <w:r w:rsidRPr="00057DCF">
        <w:rPr>
          <w:rFonts w:ascii="Arial" w:hAnsi="Arial" w:cs="Arial"/>
          <w:b/>
          <w:sz w:val="24"/>
          <w:szCs w:val="24"/>
        </w:rPr>
        <w:t>Consideraciones particulares</w:t>
      </w:r>
    </w:p>
    <w:p w14:paraId="2A999CAB" w14:textId="21340EDD" w:rsidR="00CB568C" w:rsidRPr="00057DCF" w:rsidRDefault="00CB568C" w:rsidP="00CB568C">
      <w:pPr>
        <w:jc w:val="both"/>
        <w:rPr>
          <w:rFonts w:ascii="Arial" w:hAnsi="Arial" w:cs="Arial"/>
          <w:sz w:val="24"/>
          <w:szCs w:val="24"/>
        </w:rPr>
      </w:pPr>
      <w:r w:rsidRPr="00057DCF">
        <w:rPr>
          <w:rFonts w:ascii="Arial" w:hAnsi="Arial" w:cs="Arial"/>
          <w:sz w:val="24"/>
          <w:szCs w:val="24"/>
        </w:rPr>
        <w:t xml:space="preserve">Considerando lo expresado en </w:t>
      </w:r>
      <w:r w:rsidR="00C87A3F" w:rsidRPr="00057DCF">
        <w:rPr>
          <w:rFonts w:ascii="Arial" w:hAnsi="Arial" w:cs="Arial"/>
          <w:sz w:val="24"/>
          <w:szCs w:val="24"/>
        </w:rPr>
        <w:t xml:space="preserve">los </w:t>
      </w:r>
      <w:r w:rsidRPr="00057DCF">
        <w:rPr>
          <w:rFonts w:ascii="Arial" w:hAnsi="Arial" w:cs="Arial"/>
          <w:sz w:val="24"/>
          <w:szCs w:val="24"/>
        </w:rPr>
        <w:t>acápite</w:t>
      </w:r>
      <w:r w:rsidR="00C87A3F" w:rsidRPr="00057DCF">
        <w:rPr>
          <w:rFonts w:ascii="Arial" w:hAnsi="Arial" w:cs="Arial"/>
          <w:sz w:val="24"/>
          <w:szCs w:val="24"/>
        </w:rPr>
        <w:t>s</w:t>
      </w:r>
      <w:r w:rsidRPr="00057DCF">
        <w:rPr>
          <w:rFonts w:ascii="Arial" w:hAnsi="Arial" w:cs="Arial"/>
          <w:sz w:val="24"/>
          <w:szCs w:val="24"/>
        </w:rPr>
        <w:t xml:space="preserve"> previo</w:t>
      </w:r>
      <w:r w:rsidR="00C87A3F" w:rsidRPr="00057DCF">
        <w:rPr>
          <w:rFonts w:ascii="Arial" w:hAnsi="Arial" w:cs="Arial"/>
          <w:sz w:val="24"/>
          <w:szCs w:val="24"/>
        </w:rPr>
        <w:t>s</w:t>
      </w:r>
      <w:r w:rsidRPr="00057DCF">
        <w:rPr>
          <w:rFonts w:ascii="Arial" w:hAnsi="Arial" w:cs="Arial"/>
          <w:sz w:val="24"/>
          <w:szCs w:val="24"/>
        </w:rPr>
        <w:t xml:space="preserve">, resulta a su vez necesario referirse </w:t>
      </w:r>
      <w:r w:rsidR="00BE3018" w:rsidRPr="00057DCF">
        <w:rPr>
          <w:rFonts w:ascii="Arial" w:hAnsi="Arial" w:cs="Arial"/>
          <w:sz w:val="24"/>
          <w:szCs w:val="24"/>
        </w:rPr>
        <w:t>someramente a algunas categorías de</w:t>
      </w:r>
      <w:r w:rsidRPr="00057DCF">
        <w:rPr>
          <w:rFonts w:ascii="Arial" w:hAnsi="Arial" w:cs="Arial"/>
          <w:sz w:val="24"/>
          <w:szCs w:val="24"/>
        </w:rPr>
        <w:t xml:space="preserve"> t</w:t>
      </w:r>
      <w:r w:rsidR="00AE33E2" w:rsidRPr="00057DCF">
        <w:rPr>
          <w:rFonts w:ascii="Arial" w:hAnsi="Arial" w:cs="Arial"/>
          <w:sz w:val="24"/>
          <w:szCs w:val="24"/>
        </w:rPr>
        <w:t>é</w:t>
      </w:r>
      <w:r w:rsidRPr="00057DCF">
        <w:rPr>
          <w:rFonts w:ascii="Arial" w:hAnsi="Arial" w:cs="Arial"/>
          <w:sz w:val="24"/>
          <w:szCs w:val="24"/>
        </w:rPr>
        <w:t>rmino aplicad</w:t>
      </w:r>
      <w:r w:rsidR="00BE3018" w:rsidRPr="00057DCF">
        <w:rPr>
          <w:rFonts w:ascii="Arial" w:hAnsi="Arial" w:cs="Arial"/>
          <w:sz w:val="24"/>
          <w:szCs w:val="24"/>
        </w:rPr>
        <w:t>a</w:t>
      </w:r>
      <w:r w:rsidRPr="00057DCF">
        <w:rPr>
          <w:rFonts w:ascii="Arial" w:hAnsi="Arial" w:cs="Arial"/>
          <w:sz w:val="24"/>
          <w:szCs w:val="24"/>
        </w:rPr>
        <w:t xml:space="preserve">s tanto a los casos (RUC) como a las relaciones. </w:t>
      </w:r>
    </w:p>
    <w:p w14:paraId="51240024" w14:textId="03CC53B6"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Archivo Provisional</w:t>
      </w:r>
      <w:r w:rsidR="000A09A6" w:rsidRPr="00057DCF">
        <w:rPr>
          <w:rFonts w:ascii="Arial" w:hAnsi="Arial" w:cs="Arial"/>
          <w:sz w:val="24"/>
          <w:szCs w:val="24"/>
          <w:lang w:eastAsia="es-CL"/>
        </w:rPr>
        <w:t xml:space="preserve">: </w:t>
      </w:r>
      <w:r w:rsidR="00DA0FAB" w:rsidRPr="00057DCF">
        <w:rPr>
          <w:rFonts w:ascii="Arial" w:hAnsi="Arial" w:cs="Arial"/>
          <w:sz w:val="24"/>
          <w:szCs w:val="24"/>
          <w:lang w:eastAsia="es-CL"/>
        </w:rPr>
        <w:t>T</w:t>
      </w:r>
      <w:r w:rsidR="00AE33E2" w:rsidRPr="00057DCF">
        <w:rPr>
          <w:rFonts w:ascii="Arial" w:hAnsi="Arial" w:cs="Arial"/>
          <w:sz w:val="24"/>
          <w:szCs w:val="24"/>
          <w:lang w:eastAsia="es-CL"/>
        </w:rPr>
        <w:t>é</w:t>
      </w:r>
      <w:r w:rsidR="00DA0FAB" w:rsidRPr="00057DCF">
        <w:rPr>
          <w:rFonts w:ascii="Arial" w:hAnsi="Arial" w:cs="Arial"/>
          <w:sz w:val="24"/>
          <w:szCs w:val="24"/>
          <w:lang w:eastAsia="es-CL"/>
        </w:rPr>
        <w:t xml:space="preserve">rmino </w:t>
      </w:r>
      <w:r w:rsidR="00BE3018" w:rsidRPr="00057DCF">
        <w:rPr>
          <w:rFonts w:ascii="Arial" w:hAnsi="Arial" w:cs="Arial"/>
          <w:sz w:val="24"/>
          <w:szCs w:val="24"/>
          <w:lang w:eastAsia="es-CL"/>
        </w:rPr>
        <w:t>revocable</w:t>
      </w:r>
      <w:r w:rsidR="00DA0FAB" w:rsidRPr="00057DCF">
        <w:rPr>
          <w:rFonts w:ascii="Arial" w:hAnsi="Arial" w:cs="Arial"/>
          <w:sz w:val="24"/>
          <w:szCs w:val="24"/>
          <w:lang w:eastAsia="es-CL"/>
        </w:rPr>
        <w:t xml:space="preserve"> de naturaleza administrativa en razón de no existir suficientes antecedentes que permitan el esclarecimiento del hecho o la continuación de la investigación. </w:t>
      </w:r>
    </w:p>
    <w:p w14:paraId="04CA6504"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6D263C4B" w14:textId="68D52CAD"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Agrupación a otro caso: </w:t>
      </w:r>
      <w:r w:rsidR="00DA0FAB" w:rsidRPr="00057DCF">
        <w:rPr>
          <w:rFonts w:ascii="Arial" w:hAnsi="Arial" w:cs="Arial"/>
          <w:sz w:val="24"/>
          <w:szCs w:val="24"/>
          <w:lang w:eastAsia="es-CL"/>
        </w:rPr>
        <w:t xml:space="preserve">Considera aquellos supuestos en los que se decide agrupar un Caso (RUC) o Relación a otra vigente, en razón de existir múltiples ingresos de idéntico contenido o por existir un elemento de contexto común que haga necesario investigar los hechos en una causa determinada. </w:t>
      </w:r>
    </w:p>
    <w:p w14:paraId="61E40CC2"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6EE3F391" w14:textId="3660B898" w:rsidR="00CB568C" w:rsidRPr="00057DCF" w:rsidRDefault="00CB568C" w:rsidP="0065617B">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Decisión de No Perseverar: </w:t>
      </w:r>
      <w:r w:rsidR="0065617B" w:rsidRPr="00057DCF">
        <w:rPr>
          <w:rFonts w:ascii="Arial" w:hAnsi="Arial" w:cs="Arial"/>
          <w:sz w:val="24"/>
          <w:szCs w:val="24"/>
          <w:lang w:eastAsia="es-CL"/>
        </w:rPr>
        <w:t xml:space="preserve">facultad exclusiva del Ministerio Público, aplicable luego del cierre de la investigación ante casos en los que no se logró reunir antecedentes probatorios suficientes para fundar una acusación, pero respecto de las que tampoco es posible considerar la concurrencia de alguna de las causales de sobreseimiento definitivo contenidas en las letras a) y b) del artículo 250 del Código Procesal Penal. </w:t>
      </w:r>
    </w:p>
    <w:p w14:paraId="3BB5D2EB" w14:textId="77777777" w:rsidR="00AE33E2"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p>
    <w:p w14:paraId="3A03F84A" w14:textId="166F924A" w:rsidR="00CB568C" w:rsidRPr="00057DCF" w:rsidRDefault="00CB568C" w:rsidP="00CB568C">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Facultad de no iniciar la investigación:</w:t>
      </w:r>
      <w:r w:rsidR="00DA0FAB" w:rsidRPr="00057DCF">
        <w:rPr>
          <w:rFonts w:ascii="Arial" w:hAnsi="Arial" w:cs="Arial"/>
          <w:sz w:val="24"/>
          <w:szCs w:val="24"/>
          <w:lang w:eastAsia="es-CL"/>
        </w:rPr>
        <w:t xml:space="preserve"> Facultad aplicable ante denuncias cuyo contenido no fuere constitutivo de delito o tratándose de hechos constitutivos de delitos, no fueren susceptibles de persecución penal en atención a encontrarse extinguida la responsabilidad penal por éstos. </w:t>
      </w:r>
    </w:p>
    <w:p w14:paraId="5DE2CA75" w14:textId="77777777" w:rsidR="00AE33E2" w:rsidRPr="00057DCF" w:rsidRDefault="00AE33E2" w:rsidP="00AE33E2">
      <w:pPr>
        <w:autoSpaceDE w:val="0"/>
        <w:autoSpaceDN w:val="0"/>
        <w:adjustRightInd w:val="0"/>
        <w:spacing w:after="0" w:line="240" w:lineRule="auto"/>
        <w:jc w:val="both"/>
        <w:rPr>
          <w:rFonts w:ascii="Arial" w:hAnsi="Arial" w:cs="Arial"/>
          <w:sz w:val="24"/>
          <w:szCs w:val="24"/>
          <w:lang w:eastAsia="es-CL"/>
        </w:rPr>
      </w:pPr>
    </w:p>
    <w:p w14:paraId="01F79DB5" w14:textId="6D0E6FC5" w:rsidR="00AE33E2" w:rsidRPr="00057DCF" w:rsidRDefault="00CB568C" w:rsidP="00AE33E2">
      <w:pPr>
        <w:pStyle w:val="Prrafodelista"/>
        <w:numPr>
          <w:ilvl w:val="0"/>
          <w:numId w:val="1"/>
        </w:numPr>
        <w:autoSpaceDE w:val="0"/>
        <w:autoSpaceDN w:val="0"/>
        <w:adjustRightInd w:val="0"/>
        <w:spacing w:after="0" w:line="240" w:lineRule="auto"/>
        <w:jc w:val="both"/>
        <w:rPr>
          <w:rFonts w:ascii="Arial" w:hAnsi="Arial" w:cs="Arial"/>
          <w:sz w:val="24"/>
          <w:szCs w:val="24"/>
          <w:lang w:eastAsia="es-CL"/>
        </w:rPr>
      </w:pPr>
      <w:r w:rsidRPr="00057DCF">
        <w:rPr>
          <w:rFonts w:ascii="Arial" w:hAnsi="Arial" w:cs="Arial"/>
          <w:sz w:val="24"/>
          <w:szCs w:val="24"/>
          <w:lang w:eastAsia="es-CL"/>
        </w:rPr>
        <w:t xml:space="preserve">Otras causales de término: </w:t>
      </w:r>
      <w:r w:rsidR="00AE33E2" w:rsidRPr="00057DCF">
        <w:rPr>
          <w:rFonts w:ascii="Arial" w:hAnsi="Arial" w:cs="Arial"/>
          <w:sz w:val="24"/>
          <w:szCs w:val="24"/>
          <w:lang w:eastAsia="es-CL"/>
        </w:rPr>
        <w:t>Categoría general, contempla las siguientes hipótesis: “negativa de investigación ante caso de auto denuncia Artículo 179 Código Procesal Penal”, “Sentencia definitiva condenatoria en procedimiento de extradición pasiva”, “Sentencia definitiva absolutoria en procedimiento de extradición pasiva”, “término de requerimiento de cooperación internacional”, “rechazo de requerimiento de medida de seguridad con oposición del querellante Artículo 462 Código Procesal Penal”</w:t>
      </w:r>
    </w:p>
    <w:p w14:paraId="11DBFF5D" w14:textId="2FAC59A3" w:rsidR="00CB568C" w:rsidRPr="00057DCF" w:rsidRDefault="00AE33E2" w:rsidP="00AE33E2">
      <w:pPr>
        <w:pStyle w:val="Prrafodelista"/>
        <w:autoSpaceDE w:val="0"/>
        <w:autoSpaceDN w:val="0"/>
        <w:adjustRightInd w:val="0"/>
        <w:spacing w:after="0" w:line="240" w:lineRule="auto"/>
        <w:ind w:left="360"/>
        <w:jc w:val="both"/>
        <w:rPr>
          <w:rFonts w:ascii="Arial" w:hAnsi="Arial" w:cs="Arial"/>
          <w:sz w:val="24"/>
          <w:szCs w:val="24"/>
          <w:lang w:eastAsia="es-CL"/>
        </w:rPr>
      </w:pPr>
      <w:r w:rsidRPr="00057DCF">
        <w:rPr>
          <w:rFonts w:ascii="Arial" w:hAnsi="Arial" w:cs="Arial"/>
          <w:sz w:val="24"/>
          <w:szCs w:val="24"/>
          <w:lang w:eastAsia="es-CL"/>
        </w:rPr>
        <w:t xml:space="preserve"> </w:t>
      </w:r>
    </w:p>
    <w:p w14:paraId="6B6C50DA" w14:textId="2656A56C" w:rsidR="006507EB" w:rsidRPr="00057DCF" w:rsidRDefault="00CB568C" w:rsidP="004156E9">
      <w:pPr>
        <w:pStyle w:val="Prrafodelista"/>
        <w:numPr>
          <w:ilvl w:val="0"/>
          <w:numId w:val="1"/>
        </w:numPr>
        <w:jc w:val="both"/>
        <w:rPr>
          <w:rFonts w:ascii="Arial" w:hAnsi="Arial" w:cs="Arial"/>
          <w:sz w:val="24"/>
          <w:szCs w:val="24"/>
          <w:u w:val="single"/>
        </w:rPr>
      </w:pPr>
      <w:r w:rsidRPr="00057DCF">
        <w:rPr>
          <w:rFonts w:ascii="Arial" w:hAnsi="Arial" w:cs="Arial"/>
          <w:sz w:val="24"/>
          <w:szCs w:val="24"/>
          <w:lang w:eastAsia="es-CL"/>
        </w:rPr>
        <w:t>Anulación administrativa: Contempla los motivos de t</w:t>
      </w:r>
      <w:r w:rsidR="00AE33E2" w:rsidRPr="00057DCF">
        <w:rPr>
          <w:rFonts w:ascii="Arial" w:hAnsi="Arial" w:cs="Arial"/>
          <w:sz w:val="24"/>
          <w:szCs w:val="24"/>
          <w:lang w:eastAsia="es-CL"/>
        </w:rPr>
        <w:t>é</w:t>
      </w:r>
      <w:r w:rsidRPr="00057DCF">
        <w:rPr>
          <w:rFonts w:ascii="Arial" w:hAnsi="Arial" w:cs="Arial"/>
          <w:sz w:val="24"/>
          <w:szCs w:val="24"/>
          <w:lang w:eastAsia="es-CL"/>
        </w:rPr>
        <w:t>rmino: “anulación de ingreso por error de digitación” y también “anulación de ingreso por delito de acción privada”. Respecto de la primera categoría r</w:t>
      </w:r>
      <w:r w:rsidR="004A7635" w:rsidRPr="00057DCF">
        <w:rPr>
          <w:rFonts w:ascii="Arial" w:hAnsi="Arial" w:cs="Arial"/>
          <w:sz w:val="24"/>
          <w:szCs w:val="24"/>
          <w:lang w:eastAsia="es-CL"/>
        </w:rPr>
        <w:t>eferida, esta dice relación con</w:t>
      </w:r>
      <w:r w:rsidRPr="00057DCF">
        <w:rPr>
          <w:rFonts w:ascii="Arial" w:hAnsi="Arial" w:cs="Arial"/>
          <w:sz w:val="24"/>
          <w:szCs w:val="24"/>
          <w:lang w:eastAsia="es-CL"/>
        </w:rPr>
        <w:t xml:space="preserve"> errores de digitación al ingresar la causa al sistema, en cambio, el segundo criterio refiere a aquellos delitos de acción penal </w:t>
      </w:r>
      <w:r w:rsidR="0072258F" w:rsidRPr="00057DCF">
        <w:rPr>
          <w:rFonts w:ascii="Arial" w:hAnsi="Arial" w:cs="Arial"/>
          <w:sz w:val="24"/>
          <w:szCs w:val="24"/>
          <w:lang w:eastAsia="es-CL"/>
        </w:rPr>
        <w:t xml:space="preserve">privada, que deben ser ejercidos por quienes tenga la titularidad exigida por ley mediante querella y prescindiendo de </w:t>
      </w:r>
      <w:r w:rsidR="00DA0FAB" w:rsidRPr="00057DCF">
        <w:rPr>
          <w:rFonts w:ascii="Arial" w:hAnsi="Arial" w:cs="Arial"/>
          <w:sz w:val="24"/>
          <w:szCs w:val="24"/>
          <w:lang w:eastAsia="es-CL"/>
        </w:rPr>
        <w:t>su remisión al</w:t>
      </w:r>
      <w:r w:rsidR="0072258F" w:rsidRPr="00057DCF">
        <w:rPr>
          <w:rFonts w:ascii="Arial" w:hAnsi="Arial" w:cs="Arial"/>
          <w:sz w:val="24"/>
          <w:szCs w:val="24"/>
          <w:lang w:eastAsia="es-CL"/>
        </w:rPr>
        <w:t xml:space="preserve"> Ministerio Publico. </w:t>
      </w:r>
    </w:p>
    <w:sectPr w:rsidR="006507EB" w:rsidRPr="00057DCF">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41F02" w14:textId="77777777" w:rsidR="0028551A" w:rsidRDefault="0028551A" w:rsidP="00C855F2">
      <w:pPr>
        <w:spacing w:after="0" w:line="240" w:lineRule="auto"/>
      </w:pPr>
      <w:r>
        <w:separator/>
      </w:r>
    </w:p>
  </w:endnote>
  <w:endnote w:type="continuationSeparator" w:id="0">
    <w:p w14:paraId="0A62E938" w14:textId="77777777" w:rsidR="0028551A" w:rsidRDefault="0028551A" w:rsidP="00C8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978350"/>
      <w:docPartObj>
        <w:docPartGallery w:val="Page Numbers (Bottom of Page)"/>
        <w:docPartUnique/>
      </w:docPartObj>
    </w:sdtPr>
    <w:sdtEndPr/>
    <w:sdtContent>
      <w:p w14:paraId="43085589" w14:textId="09C0D04E" w:rsidR="0040047A" w:rsidRDefault="0040047A">
        <w:pPr>
          <w:pStyle w:val="Piedepgina"/>
          <w:jc w:val="center"/>
        </w:pPr>
        <w:r>
          <w:fldChar w:fldCharType="begin"/>
        </w:r>
        <w:r>
          <w:instrText>PAGE   \* MERGEFORMAT</w:instrText>
        </w:r>
        <w:r>
          <w:fldChar w:fldCharType="separate"/>
        </w:r>
        <w:r w:rsidR="00BB09A0" w:rsidRPr="00BB09A0">
          <w:rPr>
            <w:noProof/>
            <w:lang w:val="es-ES"/>
          </w:rPr>
          <w:t>7</w:t>
        </w:r>
        <w:r>
          <w:fldChar w:fldCharType="end"/>
        </w:r>
      </w:p>
    </w:sdtContent>
  </w:sdt>
  <w:p w14:paraId="3D303B35" w14:textId="77777777" w:rsidR="0040047A" w:rsidRDefault="004004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EC123" w14:textId="77777777" w:rsidR="0028551A" w:rsidRDefault="0028551A" w:rsidP="00C855F2">
      <w:pPr>
        <w:spacing w:after="0" w:line="240" w:lineRule="auto"/>
      </w:pPr>
      <w:r>
        <w:separator/>
      </w:r>
    </w:p>
  </w:footnote>
  <w:footnote w:type="continuationSeparator" w:id="0">
    <w:p w14:paraId="14B83E37" w14:textId="77777777" w:rsidR="0028551A" w:rsidRDefault="0028551A" w:rsidP="00C855F2">
      <w:pPr>
        <w:spacing w:after="0" w:line="240" w:lineRule="auto"/>
      </w:pPr>
      <w:r>
        <w:continuationSeparator/>
      </w:r>
    </w:p>
  </w:footnote>
  <w:footnote w:id="1">
    <w:p w14:paraId="18267E55" w14:textId="20DCBB77" w:rsidR="006D04A8" w:rsidRPr="00473AA5" w:rsidRDefault="006D04A8" w:rsidP="00565195">
      <w:pPr>
        <w:pStyle w:val="Textonotapie"/>
        <w:jc w:val="both"/>
        <w:rPr>
          <w:rFonts w:ascii="Arial" w:hAnsi="Arial" w:cs="Arial"/>
          <w:sz w:val="18"/>
          <w:lang w:val="es-ES"/>
        </w:rPr>
      </w:pPr>
      <w:r w:rsidRPr="00473AA5">
        <w:rPr>
          <w:rStyle w:val="Refdenotaalpie"/>
          <w:rFonts w:ascii="Arial" w:hAnsi="Arial" w:cs="Arial"/>
          <w:sz w:val="18"/>
          <w:szCs w:val="18"/>
        </w:rPr>
        <w:footnoteRef/>
      </w:r>
      <w:r w:rsidRPr="00473AA5">
        <w:rPr>
          <w:rFonts w:ascii="Arial" w:hAnsi="Arial" w:cs="Arial"/>
          <w:sz w:val="18"/>
          <w:szCs w:val="18"/>
        </w:rPr>
        <w:t xml:space="preserve"> </w:t>
      </w:r>
      <w:r w:rsidR="00473AA5" w:rsidRPr="00473AA5">
        <w:rPr>
          <w:rFonts w:ascii="Arial" w:hAnsi="Arial" w:cs="Arial"/>
          <w:sz w:val="18"/>
        </w:rPr>
        <w:t xml:space="preserve">Esta cifra contempla la consolidación de dos bases: a) Una base inicial de 8.508 casos recopilados por la Unidad Especializada en Derechos Humanos (entre octubre del 2019 hasta mediados del 2020); b) Una base construida a partir de la revisión de 2.208 casos adicionales que ingresaron a la Unidad el 2021 por parte de las fiscalías regionales. La revisión, efectuada durante el 2023, dio cuenta que, de esta base, 1.634 casos efectivamente constituyen denuncias de violencia </w:t>
      </w:r>
      <w:r w:rsidR="00473AA5" w:rsidRPr="00CD709A">
        <w:rPr>
          <w:rFonts w:ascii="Arial" w:hAnsi="Arial" w:cs="Arial"/>
          <w:sz w:val="18"/>
        </w:rPr>
        <w:t xml:space="preserve">institucional en el marco del estallido </w:t>
      </w:r>
      <w:r w:rsidR="00473AA5" w:rsidRPr="00376BCE">
        <w:rPr>
          <w:rFonts w:ascii="Arial" w:hAnsi="Arial" w:cs="Arial"/>
          <w:sz w:val="18"/>
        </w:rPr>
        <w:t>social.</w:t>
      </w:r>
      <w:r w:rsidR="00CD709A" w:rsidRPr="00376BCE">
        <w:rPr>
          <w:rFonts w:ascii="Arial" w:hAnsi="Arial" w:cs="Arial"/>
          <w:sz w:val="18"/>
        </w:rPr>
        <w:t xml:space="preserve"> En resumen, el total de casos reportados en el presente informe, son el resultado de la suma de estos 1.634 casos y los 8.508 casos iniciales.</w:t>
      </w:r>
      <w:r w:rsidR="00473AA5" w:rsidRPr="00473AA5">
        <w:rPr>
          <w:rFonts w:ascii="Arial" w:hAnsi="Arial" w:cs="Arial"/>
          <w:sz w:val="18"/>
        </w:rPr>
        <w:t xml:space="preserve"> </w:t>
      </w:r>
    </w:p>
  </w:footnote>
  <w:footnote w:id="2">
    <w:p w14:paraId="48D9724B" w14:textId="0A82C901" w:rsidR="00C765D6" w:rsidRPr="000A49EC" w:rsidRDefault="00C765D6" w:rsidP="00474C8C">
      <w:pPr>
        <w:pStyle w:val="Textonotapie"/>
        <w:jc w:val="both"/>
        <w:rPr>
          <w:rFonts w:ascii="Arial" w:hAnsi="Arial" w:cs="Arial"/>
          <w:sz w:val="18"/>
        </w:rPr>
      </w:pPr>
      <w:r w:rsidRPr="000A49EC">
        <w:rPr>
          <w:rStyle w:val="Refdenotaalpie"/>
          <w:rFonts w:ascii="Arial" w:hAnsi="Arial" w:cs="Arial"/>
          <w:sz w:val="18"/>
        </w:rPr>
        <w:footnoteRef/>
      </w:r>
      <w:r w:rsidRPr="000A49EC">
        <w:rPr>
          <w:rFonts w:ascii="Arial" w:hAnsi="Arial" w:cs="Arial"/>
          <w:sz w:val="18"/>
        </w:rPr>
        <w:t xml:space="preserve"> Contabilizados por criterio ú</w:t>
      </w:r>
      <w:r w:rsidR="006D04A8" w:rsidRPr="000A49EC">
        <w:rPr>
          <w:rFonts w:ascii="Arial" w:hAnsi="Arial" w:cs="Arial"/>
          <w:sz w:val="18"/>
        </w:rPr>
        <w:t>nico, excluyendo duplicidades.</w:t>
      </w:r>
    </w:p>
  </w:footnote>
  <w:footnote w:id="3">
    <w:p w14:paraId="59027C71" w14:textId="5FD4CAD7" w:rsidR="00C765D6" w:rsidRPr="00A975DA" w:rsidRDefault="00C765D6" w:rsidP="00474C8C">
      <w:pPr>
        <w:pStyle w:val="Textonotapie"/>
        <w:jc w:val="both"/>
        <w:rPr>
          <w:rFonts w:ascii="Arial" w:hAnsi="Arial" w:cs="Arial"/>
          <w:sz w:val="18"/>
          <w:highlight w:val="yellow"/>
        </w:rPr>
      </w:pPr>
      <w:r w:rsidRPr="000A49EC">
        <w:rPr>
          <w:rStyle w:val="Refdenotaalpie"/>
          <w:rFonts w:ascii="Arial" w:hAnsi="Arial" w:cs="Arial"/>
          <w:sz w:val="18"/>
        </w:rPr>
        <w:footnoteRef/>
      </w:r>
      <w:r w:rsidR="00C30DBA" w:rsidRPr="000A49EC">
        <w:rPr>
          <w:rFonts w:ascii="Arial" w:hAnsi="Arial" w:cs="Arial"/>
          <w:sz w:val="18"/>
        </w:rPr>
        <w:t xml:space="preserve"> </w:t>
      </w:r>
      <w:r w:rsidRPr="000A49EC">
        <w:rPr>
          <w:rFonts w:ascii="Arial" w:hAnsi="Arial" w:cs="Arial"/>
          <w:sz w:val="18"/>
        </w:rPr>
        <w:t>Contabilizados por relación. Dicha unidad de contabilización puede implicar la existencia de varios registros asociados a una misma persona</w:t>
      </w:r>
      <w:r w:rsidR="00916C75">
        <w:rPr>
          <w:rFonts w:ascii="Arial" w:hAnsi="Arial" w:cs="Arial"/>
          <w:sz w:val="18"/>
        </w:rPr>
        <w:t xml:space="preserve"> o causa.</w:t>
      </w:r>
    </w:p>
  </w:footnote>
  <w:footnote w:id="4">
    <w:p w14:paraId="21EFE8EF" w14:textId="02102D2F" w:rsidR="00D370FE" w:rsidRPr="00D370FE" w:rsidRDefault="00D370FE" w:rsidP="00D370FE">
      <w:pPr>
        <w:pStyle w:val="Textonotapie"/>
        <w:jc w:val="both"/>
        <w:rPr>
          <w:rFonts w:ascii="Arial" w:hAnsi="Arial" w:cs="Arial"/>
        </w:rPr>
      </w:pPr>
      <w:r>
        <w:rPr>
          <w:rStyle w:val="Refdenotaalpie"/>
        </w:rPr>
        <w:footnoteRef/>
      </w:r>
      <w:r>
        <w:t xml:space="preserve"> </w:t>
      </w:r>
      <w:r w:rsidRPr="000A49EC">
        <w:rPr>
          <w:rFonts w:ascii="Arial" w:hAnsi="Arial" w:cs="Arial"/>
          <w:sz w:val="18"/>
        </w:rPr>
        <w:t>La diferencia entre el total de tipos de términos por RUC (</w:t>
      </w:r>
      <w:r w:rsidR="00C4564F">
        <w:rPr>
          <w:rFonts w:ascii="Arial" w:hAnsi="Arial" w:cs="Arial"/>
          <w:sz w:val="18"/>
        </w:rPr>
        <w:t>8</w:t>
      </w:r>
      <w:r w:rsidR="00716519">
        <w:rPr>
          <w:rFonts w:ascii="Arial" w:hAnsi="Arial" w:cs="Arial"/>
          <w:sz w:val="18"/>
        </w:rPr>
        <w:t>93</w:t>
      </w:r>
      <w:r w:rsidR="00BF6FF5">
        <w:rPr>
          <w:rFonts w:ascii="Arial" w:hAnsi="Arial" w:cs="Arial"/>
          <w:sz w:val="18"/>
        </w:rPr>
        <w:t>4</w:t>
      </w:r>
      <w:r w:rsidRPr="000A49EC">
        <w:rPr>
          <w:rFonts w:ascii="Arial" w:hAnsi="Arial" w:cs="Arial"/>
          <w:sz w:val="18"/>
        </w:rPr>
        <w:t>) y la cantidad de causas terminadas de acuerdo al desglose por RUC (8</w:t>
      </w:r>
      <w:r w:rsidR="00716519">
        <w:rPr>
          <w:rFonts w:ascii="Arial" w:hAnsi="Arial" w:cs="Arial"/>
          <w:sz w:val="18"/>
        </w:rPr>
        <w:t>90</w:t>
      </w:r>
      <w:r w:rsidR="00BF6FF5">
        <w:rPr>
          <w:rFonts w:ascii="Arial" w:hAnsi="Arial" w:cs="Arial"/>
          <w:sz w:val="18"/>
        </w:rPr>
        <w:t>4</w:t>
      </w:r>
      <w:r w:rsidRPr="000A49EC">
        <w:rPr>
          <w:rFonts w:ascii="Arial" w:hAnsi="Arial" w:cs="Arial"/>
          <w:sz w:val="18"/>
        </w:rPr>
        <w:t>), se explica en cuanto un mismo RUC puede presentar más de una forma de término, según cuántas relaciones contenga.</w:t>
      </w:r>
    </w:p>
  </w:footnote>
  <w:footnote w:id="5">
    <w:p w14:paraId="39255BB3" w14:textId="1C40B28F" w:rsidR="00276E9D" w:rsidRPr="000A49EC" w:rsidRDefault="00276E9D" w:rsidP="00276E9D">
      <w:pPr>
        <w:pStyle w:val="Textonotapie"/>
        <w:jc w:val="both"/>
        <w:rPr>
          <w:rFonts w:ascii="Arial" w:hAnsi="Arial" w:cs="Arial"/>
          <w:sz w:val="18"/>
        </w:rPr>
      </w:pPr>
      <w:r w:rsidRPr="000A49EC">
        <w:rPr>
          <w:rStyle w:val="Refdenotaalpie"/>
          <w:rFonts w:ascii="Arial" w:hAnsi="Arial" w:cs="Arial"/>
          <w:sz w:val="18"/>
        </w:rPr>
        <w:footnoteRef/>
      </w:r>
      <w:r w:rsidRPr="000A49EC">
        <w:rPr>
          <w:rFonts w:ascii="Arial" w:hAnsi="Arial" w:cs="Arial"/>
          <w:sz w:val="18"/>
        </w:rPr>
        <w:t xml:space="preserve"> La información consignada refleja el estado de situación judicial de las causas al </w:t>
      </w:r>
      <w:r w:rsidR="00504F90">
        <w:rPr>
          <w:rFonts w:ascii="Arial" w:hAnsi="Arial" w:cs="Arial"/>
          <w:sz w:val="18"/>
        </w:rPr>
        <w:t>11</w:t>
      </w:r>
      <w:r w:rsidRPr="000A49EC">
        <w:rPr>
          <w:rFonts w:ascii="Arial" w:hAnsi="Arial" w:cs="Arial"/>
          <w:sz w:val="18"/>
        </w:rPr>
        <w:t xml:space="preserve"> de </w:t>
      </w:r>
      <w:r w:rsidR="00BF6FF5">
        <w:rPr>
          <w:rFonts w:ascii="Arial" w:hAnsi="Arial" w:cs="Arial"/>
          <w:sz w:val="18"/>
        </w:rPr>
        <w:t>octubre</w:t>
      </w:r>
      <w:r w:rsidR="00087CA8">
        <w:rPr>
          <w:rFonts w:ascii="Arial" w:hAnsi="Arial" w:cs="Arial"/>
          <w:sz w:val="18"/>
        </w:rPr>
        <w:t xml:space="preserve"> de 2024</w:t>
      </w:r>
      <w:r w:rsidRPr="000A49EC">
        <w:rPr>
          <w:rFonts w:ascii="Arial" w:hAnsi="Arial" w:cs="Arial"/>
          <w:sz w:val="18"/>
        </w:rPr>
        <w:t>. Sin perjuicio de ello, existe un margen de error en la contabilización realizada, esto en razón de variados factores, tales como: método de contabilización híbrido que emplea SAF y revisión manual desde SIAGJ, desfase en la actualización de causas en SAF, desfase en la consignación de las actas de ACD en SIAGJ, entre otros.</w:t>
      </w:r>
    </w:p>
  </w:footnote>
  <w:footnote w:id="6">
    <w:p w14:paraId="01CFAA0D" w14:textId="178C073E" w:rsidR="00C765D6" w:rsidRPr="00202002" w:rsidRDefault="00C765D6" w:rsidP="002370D4">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Información construida en base al listado de RUC y RIT remitido por el INDH con fecha 18-01-2021, mediante documento Excel con listado de causas en que dicha institución ha deducido querellas. </w:t>
      </w:r>
    </w:p>
  </w:footnote>
  <w:footnote w:id="7">
    <w:p w14:paraId="6BD4CFA6" w14:textId="4F88381A" w:rsidR="00C765D6" w:rsidRPr="00202002" w:rsidRDefault="00C765D6" w:rsidP="000A09A6">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Contabilizados por criterio único, excluyendo duplicidades.  </w:t>
      </w:r>
    </w:p>
  </w:footnote>
  <w:footnote w:id="8">
    <w:p w14:paraId="7F210EB2" w14:textId="77777777" w:rsidR="00C765D6" w:rsidRPr="00202002" w:rsidRDefault="00C765D6" w:rsidP="009E17D9">
      <w:pPr>
        <w:pStyle w:val="Textonotapie"/>
        <w:jc w:val="both"/>
        <w:rPr>
          <w:rFonts w:ascii="Arial" w:hAnsi="Arial" w:cs="Arial"/>
          <w:sz w:val="18"/>
        </w:rPr>
      </w:pPr>
      <w:r w:rsidRPr="00202002">
        <w:rPr>
          <w:rStyle w:val="Refdenotaalpie"/>
          <w:rFonts w:ascii="Arial" w:hAnsi="Arial" w:cs="Arial"/>
          <w:sz w:val="18"/>
        </w:rPr>
        <w:footnoteRef/>
      </w:r>
      <w:r w:rsidRPr="00202002">
        <w:rPr>
          <w:rFonts w:ascii="Arial" w:hAnsi="Arial" w:cs="Arial"/>
          <w:sz w:val="18"/>
        </w:rPr>
        <w:t xml:space="preserve"> Para contabilizar la cantidad de términos aplicados se considera el RUC ingresado más el identificador de la relación.</w:t>
      </w:r>
    </w:p>
  </w:footnote>
  <w:footnote w:id="9">
    <w:p w14:paraId="68D50830" w14:textId="2BDEF7CB" w:rsidR="00FE0A55" w:rsidRDefault="00FE0A55" w:rsidP="00E87F6E">
      <w:pPr>
        <w:pStyle w:val="Textonotapie"/>
        <w:jc w:val="both"/>
      </w:pPr>
      <w:r w:rsidRPr="00716694">
        <w:rPr>
          <w:rStyle w:val="Refdenotaalpie"/>
        </w:rPr>
        <w:footnoteRef/>
      </w:r>
      <w:r w:rsidRPr="00716694">
        <w:t xml:space="preserve"> </w:t>
      </w:r>
      <w:r w:rsidRPr="00716694">
        <w:rPr>
          <w:rFonts w:ascii="Arial" w:hAnsi="Arial" w:cs="Arial"/>
          <w:sz w:val="18"/>
        </w:rPr>
        <w:t>La diferencia entre el total de tipos de términos por RUC (</w:t>
      </w:r>
      <w:r w:rsidR="005820DD">
        <w:rPr>
          <w:rFonts w:ascii="Arial" w:hAnsi="Arial" w:cs="Arial"/>
          <w:sz w:val="18"/>
        </w:rPr>
        <w:t>1967</w:t>
      </w:r>
      <w:r w:rsidRPr="00716694">
        <w:rPr>
          <w:rFonts w:ascii="Arial" w:hAnsi="Arial" w:cs="Arial"/>
          <w:sz w:val="18"/>
        </w:rPr>
        <w:t>) y la cantidad de causas terminadas de</w:t>
      </w:r>
      <w:r>
        <w:rPr>
          <w:rFonts w:ascii="Arial" w:hAnsi="Arial" w:cs="Arial"/>
          <w:sz w:val="18"/>
        </w:rPr>
        <w:t xml:space="preserve"> a</w:t>
      </w:r>
      <w:r w:rsidR="005820DD">
        <w:rPr>
          <w:rFonts w:ascii="Arial" w:hAnsi="Arial" w:cs="Arial"/>
          <w:sz w:val="18"/>
        </w:rPr>
        <w:t>cuerdo al desglose por RUC (1947</w:t>
      </w:r>
      <w:r w:rsidRPr="00716694">
        <w:rPr>
          <w:rFonts w:ascii="Arial" w:hAnsi="Arial" w:cs="Arial"/>
          <w:sz w:val="18"/>
        </w:rPr>
        <w:t>), se explica en cuanto un mismo RUC puede presentar más de una forma de término, según cuántas relaciones contenga.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247AC" w14:textId="2347DE7E" w:rsidR="00C765D6" w:rsidRDefault="00C765D6" w:rsidP="00C855F2">
    <w:pPr>
      <w:pStyle w:val="Encabezado"/>
      <w:jc w:val="center"/>
    </w:pPr>
    <w:r>
      <w:rPr>
        <w:rFonts w:ascii="Times New Roman" w:hAnsi="Times New Roman"/>
        <w:noProof/>
        <w:lang w:eastAsia="es-CL"/>
      </w:rPr>
      <w:drawing>
        <wp:inline distT="0" distB="0" distL="0" distR="0" wp14:anchorId="635456A5" wp14:editId="708B18EB">
          <wp:extent cx="1047750" cy="638175"/>
          <wp:effectExtent l="0" t="0" r="0" b="9525"/>
          <wp:docPr id="1" name="Imagen 1" descr="logo Fiscalia de Ch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scalia de Ch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638175"/>
                  </a:xfrm>
                  <a:prstGeom prst="rect">
                    <a:avLst/>
                  </a:prstGeom>
                  <a:noFill/>
                  <a:ln>
                    <a:noFill/>
                  </a:ln>
                </pic:spPr>
              </pic:pic>
            </a:graphicData>
          </a:graphic>
        </wp:inline>
      </w:drawing>
    </w:r>
  </w:p>
  <w:p w14:paraId="172F49A3" w14:textId="77777777" w:rsidR="00C765D6" w:rsidRDefault="00C765D6" w:rsidP="00C855F2">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70B9C"/>
    <w:multiLevelType w:val="hybridMultilevel"/>
    <w:tmpl w:val="350EEB1C"/>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503" w:hanging="360"/>
      </w:pPr>
      <w:rPr>
        <w:rFonts w:ascii="Courier New" w:hAnsi="Courier New" w:cs="Courier New" w:hint="default"/>
      </w:rPr>
    </w:lvl>
    <w:lvl w:ilvl="2" w:tplc="340A0005" w:tentative="1">
      <w:start w:val="1"/>
      <w:numFmt w:val="bullet"/>
      <w:lvlText w:val=""/>
      <w:lvlJc w:val="left"/>
      <w:pPr>
        <w:ind w:left="2223" w:hanging="360"/>
      </w:pPr>
      <w:rPr>
        <w:rFonts w:ascii="Wingdings" w:hAnsi="Wingdings" w:hint="default"/>
      </w:rPr>
    </w:lvl>
    <w:lvl w:ilvl="3" w:tplc="340A0001" w:tentative="1">
      <w:start w:val="1"/>
      <w:numFmt w:val="bullet"/>
      <w:lvlText w:val=""/>
      <w:lvlJc w:val="left"/>
      <w:pPr>
        <w:ind w:left="2943" w:hanging="360"/>
      </w:pPr>
      <w:rPr>
        <w:rFonts w:ascii="Symbol" w:hAnsi="Symbol" w:hint="default"/>
      </w:rPr>
    </w:lvl>
    <w:lvl w:ilvl="4" w:tplc="340A0003" w:tentative="1">
      <w:start w:val="1"/>
      <w:numFmt w:val="bullet"/>
      <w:lvlText w:val="o"/>
      <w:lvlJc w:val="left"/>
      <w:pPr>
        <w:ind w:left="3663" w:hanging="360"/>
      </w:pPr>
      <w:rPr>
        <w:rFonts w:ascii="Courier New" w:hAnsi="Courier New" w:cs="Courier New" w:hint="default"/>
      </w:rPr>
    </w:lvl>
    <w:lvl w:ilvl="5" w:tplc="340A0005" w:tentative="1">
      <w:start w:val="1"/>
      <w:numFmt w:val="bullet"/>
      <w:lvlText w:val=""/>
      <w:lvlJc w:val="left"/>
      <w:pPr>
        <w:ind w:left="4383" w:hanging="360"/>
      </w:pPr>
      <w:rPr>
        <w:rFonts w:ascii="Wingdings" w:hAnsi="Wingdings" w:hint="default"/>
      </w:rPr>
    </w:lvl>
    <w:lvl w:ilvl="6" w:tplc="340A0001" w:tentative="1">
      <w:start w:val="1"/>
      <w:numFmt w:val="bullet"/>
      <w:lvlText w:val=""/>
      <w:lvlJc w:val="left"/>
      <w:pPr>
        <w:ind w:left="5103" w:hanging="360"/>
      </w:pPr>
      <w:rPr>
        <w:rFonts w:ascii="Symbol" w:hAnsi="Symbol" w:hint="default"/>
      </w:rPr>
    </w:lvl>
    <w:lvl w:ilvl="7" w:tplc="340A0003" w:tentative="1">
      <w:start w:val="1"/>
      <w:numFmt w:val="bullet"/>
      <w:lvlText w:val="o"/>
      <w:lvlJc w:val="left"/>
      <w:pPr>
        <w:ind w:left="5823" w:hanging="360"/>
      </w:pPr>
      <w:rPr>
        <w:rFonts w:ascii="Courier New" w:hAnsi="Courier New" w:cs="Courier New" w:hint="default"/>
      </w:rPr>
    </w:lvl>
    <w:lvl w:ilvl="8" w:tplc="340A0005" w:tentative="1">
      <w:start w:val="1"/>
      <w:numFmt w:val="bullet"/>
      <w:lvlText w:val=""/>
      <w:lvlJc w:val="left"/>
      <w:pPr>
        <w:ind w:left="6543" w:hanging="360"/>
      </w:pPr>
      <w:rPr>
        <w:rFonts w:ascii="Wingdings" w:hAnsi="Wingdings" w:hint="default"/>
      </w:rPr>
    </w:lvl>
  </w:abstractNum>
  <w:num w:numId="1" w16cid:durableId="1379087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C2E"/>
    <w:rsid w:val="00004E08"/>
    <w:rsid w:val="000101AD"/>
    <w:rsid w:val="00034CFB"/>
    <w:rsid w:val="000428AC"/>
    <w:rsid w:val="000466B1"/>
    <w:rsid w:val="000572A2"/>
    <w:rsid w:val="00057DCF"/>
    <w:rsid w:val="00087C30"/>
    <w:rsid w:val="00087CA8"/>
    <w:rsid w:val="000A09A6"/>
    <w:rsid w:val="000A49EC"/>
    <w:rsid w:val="000A5230"/>
    <w:rsid w:val="000B3684"/>
    <w:rsid w:val="000C568F"/>
    <w:rsid w:val="000D5075"/>
    <w:rsid w:val="000D7F0E"/>
    <w:rsid w:val="000E4FEB"/>
    <w:rsid w:val="000F1B05"/>
    <w:rsid w:val="0010140B"/>
    <w:rsid w:val="001021A8"/>
    <w:rsid w:val="00110E73"/>
    <w:rsid w:val="00124C9D"/>
    <w:rsid w:val="001364F2"/>
    <w:rsid w:val="00142CF6"/>
    <w:rsid w:val="00150918"/>
    <w:rsid w:val="00151507"/>
    <w:rsid w:val="00160735"/>
    <w:rsid w:val="001B2605"/>
    <w:rsid w:val="001B2B6E"/>
    <w:rsid w:val="001B6F68"/>
    <w:rsid w:val="001B7537"/>
    <w:rsid w:val="001C6BB2"/>
    <w:rsid w:val="001E69E7"/>
    <w:rsid w:val="001E742F"/>
    <w:rsid w:val="001E7AE6"/>
    <w:rsid w:val="00202002"/>
    <w:rsid w:val="00204E46"/>
    <w:rsid w:val="002077DA"/>
    <w:rsid w:val="00207DDE"/>
    <w:rsid w:val="002159EF"/>
    <w:rsid w:val="00221373"/>
    <w:rsid w:val="00222B86"/>
    <w:rsid w:val="002263DA"/>
    <w:rsid w:val="00227E0C"/>
    <w:rsid w:val="00234EEE"/>
    <w:rsid w:val="002370D4"/>
    <w:rsid w:val="00237684"/>
    <w:rsid w:val="00245895"/>
    <w:rsid w:val="00247DD6"/>
    <w:rsid w:val="00250773"/>
    <w:rsid w:val="00276E9D"/>
    <w:rsid w:val="0028139C"/>
    <w:rsid w:val="00281F62"/>
    <w:rsid w:val="00285123"/>
    <w:rsid w:val="0028551A"/>
    <w:rsid w:val="00291252"/>
    <w:rsid w:val="00293F2A"/>
    <w:rsid w:val="002B7B25"/>
    <w:rsid w:val="002E1668"/>
    <w:rsid w:val="002E4154"/>
    <w:rsid w:val="00300978"/>
    <w:rsid w:val="00317324"/>
    <w:rsid w:val="00320211"/>
    <w:rsid w:val="00323CE5"/>
    <w:rsid w:val="003322F5"/>
    <w:rsid w:val="0034536E"/>
    <w:rsid w:val="0036061C"/>
    <w:rsid w:val="003653D0"/>
    <w:rsid w:val="00373349"/>
    <w:rsid w:val="00376BCE"/>
    <w:rsid w:val="00383E82"/>
    <w:rsid w:val="00395838"/>
    <w:rsid w:val="003962AF"/>
    <w:rsid w:val="003973B9"/>
    <w:rsid w:val="003A2AF3"/>
    <w:rsid w:val="003A42AE"/>
    <w:rsid w:val="003B3D86"/>
    <w:rsid w:val="003B54BB"/>
    <w:rsid w:val="003B6DFD"/>
    <w:rsid w:val="003B7B8D"/>
    <w:rsid w:val="003C2F4A"/>
    <w:rsid w:val="003C7E97"/>
    <w:rsid w:val="003E07C9"/>
    <w:rsid w:val="003E19C1"/>
    <w:rsid w:val="003E43F5"/>
    <w:rsid w:val="003E64E0"/>
    <w:rsid w:val="003E6C4D"/>
    <w:rsid w:val="0040047A"/>
    <w:rsid w:val="004109CA"/>
    <w:rsid w:val="004156E9"/>
    <w:rsid w:val="004471E4"/>
    <w:rsid w:val="00453458"/>
    <w:rsid w:val="0046175E"/>
    <w:rsid w:val="0046277B"/>
    <w:rsid w:val="00473AA5"/>
    <w:rsid w:val="00474C8C"/>
    <w:rsid w:val="00476B76"/>
    <w:rsid w:val="00482B9B"/>
    <w:rsid w:val="00485E39"/>
    <w:rsid w:val="004A43D4"/>
    <w:rsid w:val="004A7635"/>
    <w:rsid w:val="004B5137"/>
    <w:rsid w:val="004C24FA"/>
    <w:rsid w:val="004C386A"/>
    <w:rsid w:val="004D4548"/>
    <w:rsid w:val="004D5A81"/>
    <w:rsid w:val="004E7D9F"/>
    <w:rsid w:val="004F15A0"/>
    <w:rsid w:val="004F3010"/>
    <w:rsid w:val="004F4DB0"/>
    <w:rsid w:val="004F6AD7"/>
    <w:rsid w:val="00500AEC"/>
    <w:rsid w:val="00504F90"/>
    <w:rsid w:val="005111CF"/>
    <w:rsid w:val="0052476D"/>
    <w:rsid w:val="00537145"/>
    <w:rsid w:val="00540749"/>
    <w:rsid w:val="00545705"/>
    <w:rsid w:val="00551CAD"/>
    <w:rsid w:val="00560C86"/>
    <w:rsid w:val="00565195"/>
    <w:rsid w:val="005651F8"/>
    <w:rsid w:val="005820DD"/>
    <w:rsid w:val="00594664"/>
    <w:rsid w:val="00597872"/>
    <w:rsid w:val="005A48DE"/>
    <w:rsid w:val="005A7E9B"/>
    <w:rsid w:val="005B432C"/>
    <w:rsid w:val="005B5151"/>
    <w:rsid w:val="005B7E7C"/>
    <w:rsid w:val="005C2B12"/>
    <w:rsid w:val="005D1332"/>
    <w:rsid w:val="005D1C28"/>
    <w:rsid w:val="005D542B"/>
    <w:rsid w:val="005D7892"/>
    <w:rsid w:val="005E50D9"/>
    <w:rsid w:val="005F329A"/>
    <w:rsid w:val="0060004C"/>
    <w:rsid w:val="00601779"/>
    <w:rsid w:val="00606229"/>
    <w:rsid w:val="006151A2"/>
    <w:rsid w:val="006178DD"/>
    <w:rsid w:val="006249EE"/>
    <w:rsid w:val="00631BF2"/>
    <w:rsid w:val="00631BF6"/>
    <w:rsid w:val="00635D84"/>
    <w:rsid w:val="00636357"/>
    <w:rsid w:val="00637F97"/>
    <w:rsid w:val="00641B02"/>
    <w:rsid w:val="006507EB"/>
    <w:rsid w:val="0065617B"/>
    <w:rsid w:val="00662760"/>
    <w:rsid w:val="00666DE0"/>
    <w:rsid w:val="006837EA"/>
    <w:rsid w:val="006946B6"/>
    <w:rsid w:val="00697348"/>
    <w:rsid w:val="006A2F6F"/>
    <w:rsid w:val="006B1BA4"/>
    <w:rsid w:val="006B3329"/>
    <w:rsid w:val="006B47D8"/>
    <w:rsid w:val="006B4CDE"/>
    <w:rsid w:val="006B4F92"/>
    <w:rsid w:val="006B5108"/>
    <w:rsid w:val="006B7753"/>
    <w:rsid w:val="006B7B82"/>
    <w:rsid w:val="006D04A8"/>
    <w:rsid w:val="006E33A1"/>
    <w:rsid w:val="006F13D5"/>
    <w:rsid w:val="006F3776"/>
    <w:rsid w:val="006F5747"/>
    <w:rsid w:val="006F7A6A"/>
    <w:rsid w:val="00702978"/>
    <w:rsid w:val="00702CB2"/>
    <w:rsid w:val="007126B5"/>
    <w:rsid w:val="00716519"/>
    <w:rsid w:val="00716694"/>
    <w:rsid w:val="00721D2B"/>
    <w:rsid w:val="0072258F"/>
    <w:rsid w:val="00724DAC"/>
    <w:rsid w:val="00725A73"/>
    <w:rsid w:val="007364C6"/>
    <w:rsid w:val="007650F9"/>
    <w:rsid w:val="00791980"/>
    <w:rsid w:val="00791C20"/>
    <w:rsid w:val="007A3437"/>
    <w:rsid w:val="007B5D4A"/>
    <w:rsid w:val="007D4842"/>
    <w:rsid w:val="007F161E"/>
    <w:rsid w:val="008011CC"/>
    <w:rsid w:val="008364F8"/>
    <w:rsid w:val="008525D0"/>
    <w:rsid w:val="00866150"/>
    <w:rsid w:val="00884FA0"/>
    <w:rsid w:val="00890E0A"/>
    <w:rsid w:val="008964F0"/>
    <w:rsid w:val="0089748B"/>
    <w:rsid w:val="008A0B4C"/>
    <w:rsid w:val="008B725E"/>
    <w:rsid w:val="00903711"/>
    <w:rsid w:val="009119A8"/>
    <w:rsid w:val="009132C6"/>
    <w:rsid w:val="00916C75"/>
    <w:rsid w:val="00923695"/>
    <w:rsid w:val="00923891"/>
    <w:rsid w:val="009270D4"/>
    <w:rsid w:val="00971581"/>
    <w:rsid w:val="00974F58"/>
    <w:rsid w:val="009A59C2"/>
    <w:rsid w:val="009B3FE6"/>
    <w:rsid w:val="009B497E"/>
    <w:rsid w:val="009C1A73"/>
    <w:rsid w:val="009E17D9"/>
    <w:rsid w:val="009F206A"/>
    <w:rsid w:val="00A15A89"/>
    <w:rsid w:val="00A33B0B"/>
    <w:rsid w:val="00A449C9"/>
    <w:rsid w:val="00A7108E"/>
    <w:rsid w:val="00A7568B"/>
    <w:rsid w:val="00A75E62"/>
    <w:rsid w:val="00A900AF"/>
    <w:rsid w:val="00A927B1"/>
    <w:rsid w:val="00A939F8"/>
    <w:rsid w:val="00A96EB6"/>
    <w:rsid w:val="00A975DA"/>
    <w:rsid w:val="00AA0DEE"/>
    <w:rsid w:val="00AA1C2D"/>
    <w:rsid w:val="00AA5151"/>
    <w:rsid w:val="00AC33C1"/>
    <w:rsid w:val="00AD3278"/>
    <w:rsid w:val="00AD3FD2"/>
    <w:rsid w:val="00AD7CB5"/>
    <w:rsid w:val="00AE33E2"/>
    <w:rsid w:val="00B01B00"/>
    <w:rsid w:val="00B07063"/>
    <w:rsid w:val="00B14433"/>
    <w:rsid w:val="00B26B19"/>
    <w:rsid w:val="00B27848"/>
    <w:rsid w:val="00B3017C"/>
    <w:rsid w:val="00B53CD0"/>
    <w:rsid w:val="00B558ED"/>
    <w:rsid w:val="00B6455F"/>
    <w:rsid w:val="00B77842"/>
    <w:rsid w:val="00B93364"/>
    <w:rsid w:val="00B957B1"/>
    <w:rsid w:val="00BA04D1"/>
    <w:rsid w:val="00BA18A5"/>
    <w:rsid w:val="00BA60BA"/>
    <w:rsid w:val="00BB09A0"/>
    <w:rsid w:val="00BD560C"/>
    <w:rsid w:val="00BE1FE9"/>
    <w:rsid w:val="00BE3018"/>
    <w:rsid w:val="00BE4274"/>
    <w:rsid w:val="00BF159E"/>
    <w:rsid w:val="00BF6FF5"/>
    <w:rsid w:val="00C1659A"/>
    <w:rsid w:val="00C20AB4"/>
    <w:rsid w:val="00C20C18"/>
    <w:rsid w:val="00C21625"/>
    <w:rsid w:val="00C30DBA"/>
    <w:rsid w:val="00C315B8"/>
    <w:rsid w:val="00C32C49"/>
    <w:rsid w:val="00C32F15"/>
    <w:rsid w:val="00C4095D"/>
    <w:rsid w:val="00C4564F"/>
    <w:rsid w:val="00C55B8E"/>
    <w:rsid w:val="00C60618"/>
    <w:rsid w:val="00C63E50"/>
    <w:rsid w:val="00C7609C"/>
    <w:rsid w:val="00C765D6"/>
    <w:rsid w:val="00C84AA0"/>
    <w:rsid w:val="00C855F2"/>
    <w:rsid w:val="00C87A3F"/>
    <w:rsid w:val="00C91C2E"/>
    <w:rsid w:val="00CA1524"/>
    <w:rsid w:val="00CA17FD"/>
    <w:rsid w:val="00CA468D"/>
    <w:rsid w:val="00CA71C6"/>
    <w:rsid w:val="00CB08F7"/>
    <w:rsid w:val="00CB3FDB"/>
    <w:rsid w:val="00CB568C"/>
    <w:rsid w:val="00CD709A"/>
    <w:rsid w:val="00CE5293"/>
    <w:rsid w:val="00CE6242"/>
    <w:rsid w:val="00CF7325"/>
    <w:rsid w:val="00D04422"/>
    <w:rsid w:val="00D16BD3"/>
    <w:rsid w:val="00D2536F"/>
    <w:rsid w:val="00D31134"/>
    <w:rsid w:val="00D32CDE"/>
    <w:rsid w:val="00D370FE"/>
    <w:rsid w:val="00D42CBA"/>
    <w:rsid w:val="00D43F8A"/>
    <w:rsid w:val="00D44A83"/>
    <w:rsid w:val="00D46005"/>
    <w:rsid w:val="00D4635C"/>
    <w:rsid w:val="00D54C8F"/>
    <w:rsid w:val="00D600D1"/>
    <w:rsid w:val="00D85914"/>
    <w:rsid w:val="00D93994"/>
    <w:rsid w:val="00D97717"/>
    <w:rsid w:val="00DA0FAB"/>
    <w:rsid w:val="00DA3093"/>
    <w:rsid w:val="00DA3A09"/>
    <w:rsid w:val="00DA73FA"/>
    <w:rsid w:val="00DB08B3"/>
    <w:rsid w:val="00DB4149"/>
    <w:rsid w:val="00DB676B"/>
    <w:rsid w:val="00DD098A"/>
    <w:rsid w:val="00DD3B4D"/>
    <w:rsid w:val="00DF2478"/>
    <w:rsid w:val="00DF311D"/>
    <w:rsid w:val="00DF4158"/>
    <w:rsid w:val="00DF6D7B"/>
    <w:rsid w:val="00E05500"/>
    <w:rsid w:val="00E20852"/>
    <w:rsid w:val="00E20CEA"/>
    <w:rsid w:val="00E23609"/>
    <w:rsid w:val="00E23AF5"/>
    <w:rsid w:val="00E2525B"/>
    <w:rsid w:val="00E31C1D"/>
    <w:rsid w:val="00E43A08"/>
    <w:rsid w:val="00E47522"/>
    <w:rsid w:val="00E50B49"/>
    <w:rsid w:val="00E545DE"/>
    <w:rsid w:val="00E65898"/>
    <w:rsid w:val="00E7193B"/>
    <w:rsid w:val="00E76F47"/>
    <w:rsid w:val="00E803CD"/>
    <w:rsid w:val="00E82247"/>
    <w:rsid w:val="00E87F6E"/>
    <w:rsid w:val="00EB1F72"/>
    <w:rsid w:val="00EB60D1"/>
    <w:rsid w:val="00EB7E51"/>
    <w:rsid w:val="00ED0646"/>
    <w:rsid w:val="00ED3CEE"/>
    <w:rsid w:val="00ED4156"/>
    <w:rsid w:val="00ED6CAC"/>
    <w:rsid w:val="00EE5B40"/>
    <w:rsid w:val="00F31A91"/>
    <w:rsid w:val="00F33778"/>
    <w:rsid w:val="00F629C0"/>
    <w:rsid w:val="00F74255"/>
    <w:rsid w:val="00F74FC5"/>
    <w:rsid w:val="00F84C24"/>
    <w:rsid w:val="00F85860"/>
    <w:rsid w:val="00F9078F"/>
    <w:rsid w:val="00FA040A"/>
    <w:rsid w:val="00FA0C45"/>
    <w:rsid w:val="00FA48C5"/>
    <w:rsid w:val="00FB278E"/>
    <w:rsid w:val="00FB7751"/>
    <w:rsid w:val="00FC0354"/>
    <w:rsid w:val="00FC4F4B"/>
    <w:rsid w:val="00FE0A55"/>
    <w:rsid w:val="00FE31EF"/>
    <w:rsid w:val="00FF35DF"/>
    <w:rsid w:val="00FF7DA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FA40"/>
  <w15:docId w15:val="{AA75CA53-A3A5-4E55-B94C-5749E556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E46"/>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4E46"/>
    <w:pPr>
      <w:ind w:left="720"/>
      <w:contextualSpacing/>
    </w:pPr>
  </w:style>
  <w:style w:type="paragraph" w:styleId="Encabezado">
    <w:name w:val="header"/>
    <w:basedOn w:val="Normal"/>
    <w:link w:val="EncabezadoCar"/>
    <w:uiPriority w:val="99"/>
    <w:unhideWhenUsed/>
    <w:rsid w:val="00C855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5F2"/>
    <w:rPr>
      <w:rFonts w:ascii="Calibri" w:eastAsia="Calibri" w:hAnsi="Calibri" w:cs="Times New Roman"/>
    </w:rPr>
  </w:style>
  <w:style w:type="paragraph" w:styleId="Piedepgina">
    <w:name w:val="footer"/>
    <w:basedOn w:val="Normal"/>
    <w:link w:val="PiedepginaCar"/>
    <w:uiPriority w:val="99"/>
    <w:unhideWhenUsed/>
    <w:rsid w:val="00C855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5F2"/>
    <w:rPr>
      <w:rFonts w:ascii="Calibri" w:eastAsia="Calibri" w:hAnsi="Calibri" w:cs="Times New Roman"/>
    </w:rPr>
  </w:style>
  <w:style w:type="paragraph" w:styleId="Textodeglobo">
    <w:name w:val="Balloon Text"/>
    <w:basedOn w:val="Normal"/>
    <w:link w:val="TextodegloboCar"/>
    <w:uiPriority w:val="99"/>
    <w:semiHidden/>
    <w:unhideWhenUsed/>
    <w:rsid w:val="00C855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5F2"/>
    <w:rPr>
      <w:rFonts w:ascii="Tahoma" w:eastAsia="Calibri" w:hAnsi="Tahoma" w:cs="Tahoma"/>
      <w:sz w:val="16"/>
      <w:szCs w:val="16"/>
    </w:rPr>
  </w:style>
  <w:style w:type="paragraph" w:styleId="Textonotapie">
    <w:name w:val="footnote text"/>
    <w:basedOn w:val="Normal"/>
    <w:link w:val="TextonotapieCar"/>
    <w:uiPriority w:val="99"/>
    <w:semiHidden/>
    <w:unhideWhenUsed/>
    <w:rsid w:val="005B515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5151"/>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5B5151"/>
    <w:rPr>
      <w:vertAlign w:val="superscript"/>
    </w:rPr>
  </w:style>
  <w:style w:type="table" w:styleId="Tablaconcuadrcula">
    <w:name w:val="Table Grid"/>
    <w:basedOn w:val="Tablanormal"/>
    <w:uiPriority w:val="59"/>
    <w:unhideWhenUsed/>
    <w:rsid w:val="00F9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4C9D"/>
    <w:rPr>
      <w:sz w:val="16"/>
      <w:szCs w:val="16"/>
    </w:rPr>
  </w:style>
  <w:style w:type="paragraph" w:styleId="Textocomentario">
    <w:name w:val="annotation text"/>
    <w:basedOn w:val="Normal"/>
    <w:link w:val="TextocomentarioCar"/>
    <w:uiPriority w:val="99"/>
    <w:semiHidden/>
    <w:unhideWhenUsed/>
    <w:rsid w:val="00124C9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4C9D"/>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24C9D"/>
    <w:rPr>
      <w:b/>
      <w:bCs/>
    </w:rPr>
  </w:style>
  <w:style w:type="character" w:customStyle="1" w:styleId="AsuntodelcomentarioCar">
    <w:name w:val="Asunto del comentario Car"/>
    <w:basedOn w:val="TextocomentarioCar"/>
    <w:link w:val="Asuntodelcomentario"/>
    <w:uiPriority w:val="99"/>
    <w:semiHidden/>
    <w:rsid w:val="00124C9D"/>
    <w:rPr>
      <w:rFonts w:ascii="Calibri" w:eastAsia="Calibri" w:hAnsi="Calibri" w:cs="Times New Roman"/>
      <w:b/>
      <w:bCs/>
      <w:sz w:val="20"/>
      <w:szCs w:val="20"/>
    </w:rPr>
  </w:style>
  <w:style w:type="paragraph" w:styleId="Revisin">
    <w:name w:val="Revision"/>
    <w:hidden/>
    <w:uiPriority w:val="99"/>
    <w:semiHidden/>
    <w:rsid w:val="00FE0A5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03844">
      <w:bodyDiv w:val="1"/>
      <w:marLeft w:val="0"/>
      <w:marRight w:val="0"/>
      <w:marTop w:val="0"/>
      <w:marBottom w:val="0"/>
      <w:divBdr>
        <w:top w:val="none" w:sz="0" w:space="0" w:color="auto"/>
        <w:left w:val="none" w:sz="0" w:space="0" w:color="auto"/>
        <w:bottom w:val="none" w:sz="0" w:space="0" w:color="auto"/>
        <w:right w:val="none" w:sz="0" w:space="0" w:color="auto"/>
      </w:divBdr>
    </w:div>
    <w:div w:id="74979364">
      <w:bodyDiv w:val="1"/>
      <w:marLeft w:val="0"/>
      <w:marRight w:val="0"/>
      <w:marTop w:val="0"/>
      <w:marBottom w:val="0"/>
      <w:divBdr>
        <w:top w:val="none" w:sz="0" w:space="0" w:color="auto"/>
        <w:left w:val="none" w:sz="0" w:space="0" w:color="auto"/>
        <w:bottom w:val="none" w:sz="0" w:space="0" w:color="auto"/>
        <w:right w:val="none" w:sz="0" w:space="0" w:color="auto"/>
      </w:divBdr>
    </w:div>
    <w:div w:id="140657739">
      <w:bodyDiv w:val="1"/>
      <w:marLeft w:val="0"/>
      <w:marRight w:val="0"/>
      <w:marTop w:val="0"/>
      <w:marBottom w:val="0"/>
      <w:divBdr>
        <w:top w:val="none" w:sz="0" w:space="0" w:color="auto"/>
        <w:left w:val="none" w:sz="0" w:space="0" w:color="auto"/>
        <w:bottom w:val="none" w:sz="0" w:space="0" w:color="auto"/>
        <w:right w:val="none" w:sz="0" w:space="0" w:color="auto"/>
      </w:divBdr>
    </w:div>
    <w:div w:id="371464235">
      <w:bodyDiv w:val="1"/>
      <w:marLeft w:val="0"/>
      <w:marRight w:val="0"/>
      <w:marTop w:val="0"/>
      <w:marBottom w:val="0"/>
      <w:divBdr>
        <w:top w:val="none" w:sz="0" w:space="0" w:color="auto"/>
        <w:left w:val="none" w:sz="0" w:space="0" w:color="auto"/>
        <w:bottom w:val="none" w:sz="0" w:space="0" w:color="auto"/>
        <w:right w:val="none" w:sz="0" w:space="0" w:color="auto"/>
      </w:divBdr>
    </w:div>
    <w:div w:id="602104263">
      <w:bodyDiv w:val="1"/>
      <w:marLeft w:val="0"/>
      <w:marRight w:val="0"/>
      <w:marTop w:val="0"/>
      <w:marBottom w:val="0"/>
      <w:divBdr>
        <w:top w:val="none" w:sz="0" w:space="0" w:color="auto"/>
        <w:left w:val="none" w:sz="0" w:space="0" w:color="auto"/>
        <w:bottom w:val="none" w:sz="0" w:space="0" w:color="auto"/>
        <w:right w:val="none" w:sz="0" w:space="0" w:color="auto"/>
      </w:divBdr>
    </w:div>
    <w:div w:id="629091640">
      <w:bodyDiv w:val="1"/>
      <w:marLeft w:val="0"/>
      <w:marRight w:val="0"/>
      <w:marTop w:val="0"/>
      <w:marBottom w:val="0"/>
      <w:divBdr>
        <w:top w:val="none" w:sz="0" w:space="0" w:color="auto"/>
        <w:left w:val="none" w:sz="0" w:space="0" w:color="auto"/>
        <w:bottom w:val="none" w:sz="0" w:space="0" w:color="auto"/>
        <w:right w:val="none" w:sz="0" w:space="0" w:color="auto"/>
      </w:divBdr>
    </w:div>
    <w:div w:id="639580529">
      <w:bodyDiv w:val="1"/>
      <w:marLeft w:val="0"/>
      <w:marRight w:val="0"/>
      <w:marTop w:val="0"/>
      <w:marBottom w:val="0"/>
      <w:divBdr>
        <w:top w:val="none" w:sz="0" w:space="0" w:color="auto"/>
        <w:left w:val="none" w:sz="0" w:space="0" w:color="auto"/>
        <w:bottom w:val="none" w:sz="0" w:space="0" w:color="auto"/>
        <w:right w:val="none" w:sz="0" w:space="0" w:color="auto"/>
      </w:divBdr>
    </w:div>
    <w:div w:id="702555540">
      <w:bodyDiv w:val="1"/>
      <w:marLeft w:val="0"/>
      <w:marRight w:val="0"/>
      <w:marTop w:val="0"/>
      <w:marBottom w:val="0"/>
      <w:divBdr>
        <w:top w:val="none" w:sz="0" w:space="0" w:color="auto"/>
        <w:left w:val="none" w:sz="0" w:space="0" w:color="auto"/>
        <w:bottom w:val="none" w:sz="0" w:space="0" w:color="auto"/>
        <w:right w:val="none" w:sz="0" w:space="0" w:color="auto"/>
      </w:divBdr>
    </w:div>
    <w:div w:id="769542755">
      <w:bodyDiv w:val="1"/>
      <w:marLeft w:val="0"/>
      <w:marRight w:val="0"/>
      <w:marTop w:val="0"/>
      <w:marBottom w:val="0"/>
      <w:divBdr>
        <w:top w:val="none" w:sz="0" w:space="0" w:color="auto"/>
        <w:left w:val="none" w:sz="0" w:space="0" w:color="auto"/>
        <w:bottom w:val="none" w:sz="0" w:space="0" w:color="auto"/>
        <w:right w:val="none" w:sz="0" w:space="0" w:color="auto"/>
      </w:divBdr>
    </w:div>
    <w:div w:id="837113543">
      <w:bodyDiv w:val="1"/>
      <w:marLeft w:val="0"/>
      <w:marRight w:val="0"/>
      <w:marTop w:val="0"/>
      <w:marBottom w:val="0"/>
      <w:divBdr>
        <w:top w:val="none" w:sz="0" w:space="0" w:color="auto"/>
        <w:left w:val="none" w:sz="0" w:space="0" w:color="auto"/>
        <w:bottom w:val="none" w:sz="0" w:space="0" w:color="auto"/>
        <w:right w:val="none" w:sz="0" w:space="0" w:color="auto"/>
      </w:divBdr>
    </w:div>
    <w:div w:id="900404792">
      <w:bodyDiv w:val="1"/>
      <w:marLeft w:val="0"/>
      <w:marRight w:val="0"/>
      <w:marTop w:val="0"/>
      <w:marBottom w:val="0"/>
      <w:divBdr>
        <w:top w:val="none" w:sz="0" w:space="0" w:color="auto"/>
        <w:left w:val="none" w:sz="0" w:space="0" w:color="auto"/>
        <w:bottom w:val="none" w:sz="0" w:space="0" w:color="auto"/>
        <w:right w:val="none" w:sz="0" w:space="0" w:color="auto"/>
      </w:divBdr>
    </w:div>
    <w:div w:id="952059710">
      <w:bodyDiv w:val="1"/>
      <w:marLeft w:val="0"/>
      <w:marRight w:val="0"/>
      <w:marTop w:val="0"/>
      <w:marBottom w:val="0"/>
      <w:divBdr>
        <w:top w:val="none" w:sz="0" w:space="0" w:color="auto"/>
        <w:left w:val="none" w:sz="0" w:space="0" w:color="auto"/>
        <w:bottom w:val="none" w:sz="0" w:space="0" w:color="auto"/>
        <w:right w:val="none" w:sz="0" w:space="0" w:color="auto"/>
      </w:divBdr>
    </w:div>
    <w:div w:id="991370808">
      <w:bodyDiv w:val="1"/>
      <w:marLeft w:val="0"/>
      <w:marRight w:val="0"/>
      <w:marTop w:val="0"/>
      <w:marBottom w:val="0"/>
      <w:divBdr>
        <w:top w:val="none" w:sz="0" w:space="0" w:color="auto"/>
        <w:left w:val="none" w:sz="0" w:space="0" w:color="auto"/>
        <w:bottom w:val="none" w:sz="0" w:space="0" w:color="auto"/>
        <w:right w:val="none" w:sz="0" w:space="0" w:color="auto"/>
      </w:divBdr>
    </w:div>
    <w:div w:id="1075512473">
      <w:bodyDiv w:val="1"/>
      <w:marLeft w:val="0"/>
      <w:marRight w:val="0"/>
      <w:marTop w:val="0"/>
      <w:marBottom w:val="0"/>
      <w:divBdr>
        <w:top w:val="none" w:sz="0" w:space="0" w:color="auto"/>
        <w:left w:val="none" w:sz="0" w:space="0" w:color="auto"/>
        <w:bottom w:val="none" w:sz="0" w:space="0" w:color="auto"/>
        <w:right w:val="none" w:sz="0" w:space="0" w:color="auto"/>
      </w:divBdr>
    </w:div>
    <w:div w:id="1174229125">
      <w:bodyDiv w:val="1"/>
      <w:marLeft w:val="0"/>
      <w:marRight w:val="0"/>
      <w:marTop w:val="0"/>
      <w:marBottom w:val="0"/>
      <w:divBdr>
        <w:top w:val="none" w:sz="0" w:space="0" w:color="auto"/>
        <w:left w:val="none" w:sz="0" w:space="0" w:color="auto"/>
        <w:bottom w:val="none" w:sz="0" w:space="0" w:color="auto"/>
        <w:right w:val="none" w:sz="0" w:space="0" w:color="auto"/>
      </w:divBdr>
    </w:div>
    <w:div w:id="1414080918">
      <w:bodyDiv w:val="1"/>
      <w:marLeft w:val="0"/>
      <w:marRight w:val="0"/>
      <w:marTop w:val="0"/>
      <w:marBottom w:val="0"/>
      <w:divBdr>
        <w:top w:val="none" w:sz="0" w:space="0" w:color="auto"/>
        <w:left w:val="none" w:sz="0" w:space="0" w:color="auto"/>
        <w:bottom w:val="none" w:sz="0" w:space="0" w:color="auto"/>
        <w:right w:val="none" w:sz="0" w:space="0" w:color="auto"/>
      </w:divBdr>
    </w:div>
    <w:div w:id="1519386887">
      <w:bodyDiv w:val="1"/>
      <w:marLeft w:val="0"/>
      <w:marRight w:val="0"/>
      <w:marTop w:val="0"/>
      <w:marBottom w:val="0"/>
      <w:divBdr>
        <w:top w:val="none" w:sz="0" w:space="0" w:color="auto"/>
        <w:left w:val="none" w:sz="0" w:space="0" w:color="auto"/>
        <w:bottom w:val="none" w:sz="0" w:space="0" w:color="auto"/>
        <w:right w:val="none" w:sz="0" w:space="0" w:color="auto"/>
      </w:divBdr>
    </w:div>
    <w:div w:id="1562865105">
      <w:bodyDiv w:val="1"/>
      <w:marLeft w:val="0"/>
      <w:marRight w:val="0"/>
      <w:marTop w:val="0"/>
      <w:marBottom w:val="0"/>
      <w:divBdr>
        <w:top w:val="none" w:sz="0" w:space="0" w:color="auto"/>
        <w:left w:val="none" w:sz="0" w:space="0" w:color="auto"/>
        <w:bottom w:val="none" w:sz="0" w:space="0" w:color="auto"/>
        <w:right w:val="none" w:sz="0" w:space="0" w:color="auto"/>
      </w:divBdr>
    </w:div>
    <w:div w:id="1736932883">
      <w:bodyDiv w:val="1"/>
      <w:marLeft w:val="0"/>
      <w:marRight w:val="0"/>
      <w:marTop w:val="0"/>
      <w:marBottom w:val="0"/>
      <w:divBdr>
        <w:top w:val="none" w:sz="0" w:space="0" w:color="auto"/>
        <w:left w:val="none" w:sz="0" w:space="0" w:color="auto"/>
        <w:bottom w:val="none" w:sz="0" w:space="0" w:color="auto"/>
        <w:right w:val="none" w:sz="0" w:space="0" w:color="auto"/>
      </w:divBdr>
    </w:div>
    <w:div w:id="1759208992">
      <w:bodyDiv w:val="1"/>
      <w:marLeft w:val="0"/>
      <w:marRight w:val="0"/>
      <w:marTop w:val="0"/>
      <w:marBottom w:val="0"/>
      <w:divBdr>
        <w:top w:val="none" w:sz="0" w:space="0" w:color="auto"/>
        <w:left w:val="none" w:sz="0" w:space="0" w:color="auto"/>
        <w:bottom w:val="none" w:sz="0" w:space="0" w:color="auto"/>
        <w:right w:val="none" w:sz="0" w:space="0" w:color="auto"/>
      </w:divBdr>
    </w:div>
    <w:div w:id="202292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5A98FFA2CAA54B8DDF8C01A6D26F51" ma:contentTypeVersion="2" ma:contentTypeDescription="Crear nuevo documento." ma:contentTypeScope="" ma:versionID="58699ce738efbc84e5856d1d85965c55">
  <xsd:schema xmlns:xsd="http://www.w3.org/2001/XMLSchema" xmlns:xs="http://www.w3.org/2001/XMLSchema" xmlns:p="http://schemas.microsoft.com/office/2006/metadata/properties" xmlns:ns2="62cf8e3f-5386-4ead-a76a-ff1a3be3d0a2" targetNamespace="http://schemas.microsoft.com/office/2006/metadata/properties" ma:root="true" ma:fieldsID="be5b25fda640ee6b52db439e4a333745" ns2:_="">
    <xsd:import namespace="62cf8e3f-5386-4ead-a76a-ff1a3be3d0a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f8e3f-5386-4ead-a76a-ff1a3be3d0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CB5E8D-D7F9-46AA-A116-12035ECB10A5}">
  <ds:schemaRefs>
    <ds:schemaRef ds:uri="http://schemas.openxmlformats.org/officeDocument/2006/bibliography"/>
  </ds:schemaRefs>
</ds:datastoreItem>
</file>

<file path=customXml/itemProps2.xml><?xml version="1.0" encoding="utf-8"?>
<ds:datastoreItem xmlns:ds="http://schemas.openxmlformats.org/officeDocument/2006/customXml" ds:itemID="{29AA8C8A-0315-42A8-9324-5699890F5D29}">
  <ds:schemaRefs>
    <ds:schemaRef ds:uri="http://schemas.microsoft.com/sharepoint/v3/contenttype/forms"/>
  </ds:schemaRefs>
</ds:datastoreItem>
</file>

<file path=customXml/itemProps3.xml><?xml version="1.0" encoding="utf-8"?>
<ds:datastoreItem xmlns:ds="http://schemas.openxmlformats.org/officeDocument/2006/customXml" ds:itemID="{4DD4D8D8-66DD-42FE-89C6-1BE00AA94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f8e3f-5386-4ead-a76a-ff1a3be3d0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Pages>
  <Words>1321</Words>
  <Characters>7270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Aguilera Vasconcellos</dc:creator>
  <cp:keywords/>
  <dc:description/>
  <cp:lastModifiedBy>Alejandra Seguel Gonzalez</cp:lastModifiedBy>
  <cp:revision>6</cp:revision>
  <dcterms:created xsi:type="dcterms:W3CDTF">2024-10-15T14:53:00Z</dcterms:created>
  <dcterms:modified xsi:type="dcterms:W3CDTF">2024-10-16T20:01:00Z</dcterms:modified>
</cp:coreProperties>
</file>